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AARP/261/2021 vom 25. August 2021</w:t>
      </w:r>
    </w:p>
    <w:p>
      <w:r>
        <w:t>GE Cour de justice, 2021-08-25, FR</w:t>
      </w:r>
    </w:p>
    <w:p>
      <w:r>
        <w:rPr>
          <w:b/>
        </w:rPr>
        <w:t xml:space="preserve">Quelle: </w:t>
      </w:r>
      <w:r>
        <w:t>https://mcp.opencaselaw.ch/entscheid/ge_gerichte_AARP_261_2021</w:t>
      </w:r>
    </w:p>
    <w:p>
      <w:r>
        <w:t>FR: GE_GERICHTE AARP/261/2021 du 25 août 2021</w:t>
      </w:r>
    </w:p>
    <w:p>
      <w:r>
        <w:t>IT: GE_GERICHTE AARP/261/2021 del 25 agosto 2021</w:t>
      </w:r>
    </w:p>
    <w:p>
      <w:pPr>
        <w:pStyle w:val="Heading2"/>
      </w:pPr>
      <w:r>
        <w:t>Erwägungen</w:t>
      </w:r>
    </w:p>
    <w:p>
      <w:r>
        <w:rPr>
          <w:b/>
        </w:rPr>
        <w:t>E. 1</w:t>
      </w:r>
    </w:p>
    <w:p>
      <w:r>
        <w:t>1.1.1. Peuvent faire l'objet d'un appel, les jugements des tribunaux de première instance qui ont clos tout ou partie de la procédure (art. 398 al. 1 du Code de procédure pénale [CPP]).</w:t>
      </w:r>
    </w:p>
    <w:p>
      <w:r>
        <w:t>- 3/6 - P/8092/2019</w:t>
      </w:r>
    </w:p>
    <w:p>
      <w:r>
        <w:t>La partie annonce l'appel au tribunal de première instance par écrit ou oralement pour mention au procès-verbal dans le délai de dix jours à compter de la communication du dispositif écrit du jugement (art. 398, 399 al. 1 et 384 let. a CPP). Lorsque le jugement motivé est rédigé, le tribunal de première instance transmet l'annonce et le dossier à la juridiction d'appel.</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t>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w:t>
      </w:r>
    </w:p>
    <w:p>
      <w:r>
        <w:t>1.1.2. Une annonce d'appel au sens de l'art. 399 al. 1 CPP constitue une déclaration unilatérale de volonté par laquelle une partie communique sa volonté de former appel. L'annonce n'a pas à être motivée. Elle doit cependant être suffisamment claire quant à la volonté de former appel (arrêts du Tribunal fédéral 6B_1147/2017 du 9 février 2018 consid. 5.4 et 6B_170/2012 du 7 mai 2012 consid. 1.4).</w:t>
      </w:r>
    </w:p>
    <w:p>
      <w:r>
        <w:t>1.1.3. L'art. 82 al. 2 CPP distingue clairement la demande de motivation de l'annonce d'appel (cf. al. 2 let. a et b). La doctrine et la jurisprudence excluent qu'une demande de motivation puisse valoir annonce d'appel (arrêt précité consid. 1.4.2 ; cf. DONATSCH / LIEBER / SUMMERS / WOHLERS, Kommentar zur schweizerischen Strafprozessordnung, 3ème éd., Zurich 2020, n. 4 ad art. 399).</w:t>
      </w:r>
    </w:p>
    <w:p>
      <w:r>
        <w:rPr>
          <w:b/>
        </w:rPr>
        <w:t>E. 1.2</w:t>
      </w:r>
    </w:p>
    <w:p>
      <w:r>
        <w:t>La faute du mandataire peut être imputée à la partie s'il ne s'agit pas d'un cas de défense obligatoire de nature à causer un préjudice irréparable au prévenu (Y. JEANNERET / A. KUHN / C. PERRIER DEPEURSINGE [éds], Commentaire romand : Code de procédure pénale suisse, 2ème éd., Bâle 2019, n. 10a ad art. 94). Dans le cas de la défense obligatoire (qu'il s'agisse d'une défense de choix ou d'une défense d'office), le prévenu ne peut invoquer une erreur matérielle que si le comportement de l'avocat de la défense est négligent, incorrect ou totalement incompatible avec les règles de l'art de la profession (M. NIGGLI / M. HEER / H. WIPRÄCHTIGER (éds), Strafprozessordnung / Jugendstrafprozessordnung, Basler Kommentar StPO/JStPO, 2ème éd., Bâle 2014, n. 57 ad art. 94). Ainsi, selon la jurisprudence, hormis les cas de grossière erreur de l'avocat lors d'une défense obligatoire, le comportement fautif de l'avocat est imputable à son client</w:t>
      </w:r>
    </w:p>
    <w:p>
      <w:r>
        <w:t>- 4/6 - P/8092/2019 (ATF 143 I 284 consid. 1.3 et les références = SJ 2017 I 397 ; arrêts du Tribunal fédéral 6B_673/2015 du 19 octobre 2016 consid. 2.1.2 et 6B_1074/2015 du 19 novembre 2015 consid. 3.2). Il appartient en effet au mandataire professionnel de s'organiser de telle manière qu'un délai puisse être respecté indépendamment d'un éventuel empêchement de sa part (ATF 119 II 86 consid. 2a p. 87). De manière générale, une défaillance dans l'organisation interne de l'avocat (problèmes informatiques, auxiliaire en charge du recours, absence du mandataire principal) ne constitue pas un empêchement non fautif justifiant une restitution du délai (ATF 143 I 284 consid. 1.3 et les références = SJ 2017 I 397 ; arrêt du Tribunal fédéral 6B_673/2015 du 19 octobre 2016 consid. 2.1.2). En d'autres termes, la jurisprudence récente du Tribunal fédéral pose le principe selon lequel le comportement fautif de l'avocat, respectivement de son auxiliaire, est imputable à son client dans le cadre de l'application de l'art. 94 CPP, mais réserve l'hypothèse d'une erreur grossière commise dans le cadre de la défense obligatoire (ATF 143 I 284 consid. 1.3 et 2.2).</w:t>
      </w:r>
    </w:p>
    <w:p>
      <w:r>
        <w:rPr>
          <w:b/>
        </w:rPr>
        <w:t>E. 1.3</w:t>
      </w:r>
    </w:p>
    <w:p>
      <w:r>
        <w:t>En l'espèce, s'il est vrai que l'appelant a manifesté auprès de son avocat, le jour- même de la notification du dispositif, son souhait de faire appel de la décision querellée, il reste que son conseil n'a sollicité du Tribunal pénal que la motivation du jugement, à défaut de toute autre communication dans le délai légal.</w:t>
      </w:r>
    </w:p>
    <w:p>
      <w:r>
        <w:t>Or une telle demande ne saurait valablement constituer une annonce d'appel au sens de l'art. 399 al. 1 CP, dans la mesure où la volonté de faire appel n'y est pas clairement exprimée, ni même reconnaissable. Elle ne saurait se déduire non plus du seul fait que l'appelant avait entièrement succombé en première instance. Il n'est en effet pas exclu qu'une partie qui a été reconnue coupable n'ait pas l'intention de porter la cause devant une autorité supérieure mais souhaite néanmoins connaître les motifs de la décision. C'est du reste la raison d'être de l'art. 82 al. 2 let. b CPP.</w:t>
      </w:r>
    </w:p>
    <w:p>
      <w:r>
        <w:t>Certes, la motivation entraîne la perception d'un émolument complémentaire, mais la renonciation à annoncer appel permet de limiter les coûts, en évitant les frais de deuxième instance mis à la charge de l'appelant en cas de retrait de l'appel ou de non dépôt d'une déclaration d'où, aussi, l'intérêt de la faculté octroyée par l'art. 82 al. 2 let. b CPP.</w:t>
      </w:r>
    </w:p>
    <w:p>
      <w:r>
        <w:t>L'absence d'annonce d'appel relève peut-être d'une erreur de l'avocat, mais elle est imputable à l'appelant, dès lors qu'il ne s'agit pas d'un cas de défense obligatoire.</w:t>
      </w:r>
    </w:p>
    <w:p>
      <w:r>
        <w:t>Au vu de ce qui précède, l'appel sera déclaré irrecevable.</w:t>
      </w:r>
    </w:p>
    <w:p>
      <w:r>
        <w:rPr>
          <w:b/>
        </w:rPr>
        <w:t>E. 2</w:t>
      </w:r>
    </w:p>
    <w:p>
      <w:r>
        <w:t>La partie dont l'appel est irrecevable est considérée comme ayant succombé ; elle supporte les frais de la procédure envers l'Etat (art. 428 CPP).</w:t>
      </w:r>
    </w:p>
    <w:p>
      <w:r>
        <w:t>- 5/6 - P/8092/2019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