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AARP/261/2015 vom 5. Juni 2015</w:t>
      </w:r>
    </w:p>
    <w:p>
      <w:r>
        <w:t>GE Cour de justice, 2015-06-05, FR</w:t>
      </w:r>
    </w:p>
    <w:p>
      <w:r>
        <w:rPr>
          <w:b/>
        </w:rPr>
        <w:t xml:space="preserve">Quelle: </w:t>
      </w:r>
      <w:r>
        <w:t>https://mcp.opencaselaw.ch/entscheid/ge_gerichte_AARP_261_2015</w:t>
      </w:r>
    </w:p>
    <w:p>
      <w:r>
        <w:t>FR: GE_GERICHTE AARP/261/2015 du 5 juin 2015</w:t>
      </w:r>
    </w:p>
    <w:p>
      <w:r>
        <w:t>IT: GE_GERICHTE AARP/261/2015 del 5 giugno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de la Constitution fédérale de la Confédération suisse du 18 avril 1999 (Cst. ; RS 101), et peut aussi être déduit des art. 32 al. 2 Cst. et 6 ch. 3 de la Convention de sauvegarde des droits de l’homme et des libertés fondamentales du</w:t>
      </w:r>
    </w:p>
    <w:p>
      <w:r>
        <w:rPr>
          <w:b/>
        </w:rPr>
        <w:t>E. 2.2</w:t>
      </w:r>
    </w:p>
    <w:p>
      <w:r>
        <w:t>Les art. 324 ss CPP règlent la mise en accusation, en particulier le contenu strict de l'acte d'accusation. Selon l'art. 325 al. 1 CPP, l'acte d'accusation désigne le lieu et la date de son établissement, le Ministère public qui en est l'auteur, le tribunal auquel il s'adresse, les noms du prévenu et de son défenseur, le nom du lésé, le plus brièvement possible, mais avec précision, les actes reprochés au prévenu, le lieu, la date et l'heure de leur commission ainsi que leurs conséquences et le mode de</w:t>
      </w:r>
    </w:p>
    <w:p>
      <w:r>
        <w:t>- 8/14 - P/10934/2014 procéder de l'auteur ainsi que les infractions réalisées et les dispositions légales applicables de l'avis du Ministère public. Lorsque par la voie de l'opposition, l'affaire est transmise au tribunal de première instance, l'ordonnance pénale tient lieu d'acte d'accusation (art. 356 al. 1 CPP). Le tribunal est lié par l'état de fait décrit dans l'acte d'accusation mais non par l'appréciation juridique qu'en fait le Ministère public (art. 350 al. 1 CPP) et statue par conséquent sur la question de l'application du droit. Il n'est pas non plus lié par les infractions retenues par le Ministère public ni par la sanction infligée au prévenu puisque l'interdiction de la reformatio in pejus ne s'applique pas à la procédure de jugement ensuite de l'opposition à une ordonnance pénale (L. MOREILLON / A. PAREIN-REYMOND, CPP, Code de procédure pénale, Bâle 2013, n. 2 ad art. 356 CPP et les références citées).</w:t>
      </w:r>
    </w:p>
    <w:p>
      <w:r>
        <w:rPr>
          <w:b/>
        </w:rPr>
        <w:t>E. 2.3</w:t>
      </w:r>
    </w:p>
    <w:p>
      <w:r>
        <w:t>En l'espèce, figurait à la procédure au moment de l'audience de jugement devant le Tribunal de police un casier judiciaire de l'appelant dans son état au 14 janvier 2015, lequel mentionnait une première libération conditionnelle ordonnée par le TAPEM le 7 juin 2013, révoquée par le Ministère public le 4 août 2013, et la seconde libération conditionnelle du 30 avril 2014, intervenue à teneur du casier judiciaire le 16 mai 2014 (le 13 mai en réalité), le délai d'épreuve d'un an lié à cette mesure, le solde de peine à purger et l'existence d'une règle de conduite. Dûment assisté d'un conseil lors de cette audience, l'appelant devait s'attendre, sans que le juge de première instance ait à attirer expressément son intention sur ce point, à la possibilité d'une révocation de cette seconde libération conditionnelle. Il sera précisé à cet égard qu'il ressort du procès-verbal du 21 janvier 2015 que A______ a bien été interrogé sur ses sept condamnations en Suisse depuis le</w:t>
      </w:r>
    </w:p>
    <w:p>
      <w:r>
        <w:rPr>
          <w:b/>
        </w:rPr>
        <w:t>E. 2.4</w:t>
      </w:r>
    </w:p>
    <w:p>
      <w:r>
        <w:t>Enfin, l'ordonnance pénale valant acte d'accusation répond aux exigences légales dans la mesure où elle contient l'état de fait, liant le tribunal de première instance, sur lequel il a fondé son jugement, étant rappelé que celui-ci n'était lié ni par la qualification juridique retenue par le Ministère public ni par la sanction infligée. 3. 3.1. 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La nouvelle infraction doit revêtir une certaine gravité, à savoir être passible d'une peine privative de liberté ou d'une peine pécuniaire (cf. art. 10 CP). Selon l'article 89 al. 2 CP, le juge peut renoncer à réintégrer dans l'établissement de détention le détenu libéré conditionnellement ayant commis un nouveau crime ou délit, s'il n'y a pas lieu de craindre que celui-ci commette d'autres infractions. Selon le Message concernant la modification du Code pénal suisse (dispositions générales, entrée en vigueur et application du Code pénal) et du Code pénal militaire, ainsi qu'une loi régissant la condition pénale des mineurs du 21 septembre 1998 ; FF 1998 1787), l'échec de la mise à l'épreuve au sens de l'article 89 al. 2 CP suppose la commission d'un crime ou d'un délit, laissant présager que le détenu libéré conditionnellement ne s'en tiendrait pas là. Un tribunal devait décider de la réintégration en procédant à une "projection comportementale dans l'avenir", excluant une "infraction accidentelle" comme indice d'échec (FF 1998 1929). Si, en raison de la nouvelle infraction, les conditions d'une peine privative de liberté ferme sont réunies et que celle-ci entre en concours avec le solde de la peine devenu exécutoire à la suite de la révocation, le juge prononce, en vertu de l'art. 49 CP, une peine d'ensemble (art. 89 al. 6 CP). 3.2. En l'espèce, c'est bien sur la base de l'art. 89 al. 1 CP que le juge de première instance a révoqué la libération conditionnelle prononcée le 30 avril 2014, retenant que la nouvelle infraction à l'art. 115 al. 1 let. b LEtr avait été commise durant le délai d'épreuve. L'appelant ne saurait partant être suivi lorsqu'il argumente sur une révocation en application de l'art. 95 al. 5 CP et avant cette ultima ratio, en application du principe de proportionnalité, une mise en œuvre de l'une des possibilités moins incisives données au juge par l'art. 95 al. 4 CP en cas de violation d'une règle de conduite. Considérant en l'espèce la récidive intervenue quelques jours après la dernière sortie de prison et alors que l'appelant avait donné au TAPEM son accord pour un renvoi en</w:t>
      </w:r>
    </w:p>
    <w:p>
      <w:r>
        <w:t>- 10/14 - P/10934/2014 Guinée, disant vouloir y retourner auprès de sa famille et être d'accord avec des démarches en vue d'obtenir un laissez-passer ou une pièce de légitimation, ce qu'il n'a pas fait, notamment par le biais de l'aide du CICR, c'est à juste titre que le juge de première instance a retenu que ce nouveau séjour illégal était intervenu durant le délai d'épreuve de la libération conditionnelle, que l'appelant n'avait entrepris aucune démarche pour quitter la Suisse malgré ses engagements pris devant le TAPEM et en présence de précédentes condamnations pour des faits spécifiques. Il s'est aussi organisé pour être inatteignable à l'adresse qu'il avait lui-même communiquée pour être convoqué devant les autorités judiciaires dans la présente procédure. Il n'y a pas lieu de considérer cette récidive, pour une durée de 14 jours tenant au seul fait de l'interpellation de l'appelant, de "bagatelle", comme argumenté par l'appelant, puisqu'elle démontre au contraire le mépris par le prévenu de la législation suisse en vigueur. Comme avancé à bon escient par le Ministère public, il sera encore relevé que le juge de première instance n'avait pas compétence pour analyser la légalité de la sanction, définitive et exécutoire, prononcée dans chacune des décisions à l'origine de la libération conditionnelle de l'appelant en mai 2014. C'est donc à juste titre que le Tribunal de police a révoqué la libération conditionnelle du 30 avril 2014. 3.3. Dans la mesure où le premier juge a sanctionné par une peine égale à zéro la nouvelle infraction commise par l'appelant, il n'y a pas de place pour l'application de l'art. 86 al. 4 CP et le prononcé d'une peine d'ensemble, étant précisé que la révocation sanctionne la récidive en tant que telle. Le jugement entrepris sera en conséquence confirmé. 4. L'appelant, qui succombe, supportera les frais de la procédure envers l'Etat, comprenant un émolument de décision de CHF 2'000.- (art. 428 CPP). 5. 5.1.1.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A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w:t>
      </w:r>
    </w:p>
    <w:p>
      <w:r>
        <w:t>- 11/14 - P/10934/2014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 donnant lieu à indemnisation, avec indication du temps consacré. Les justificatifs des frais sont joints. Les directives du greffe sont applicables pour le surplus."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5.1.2. Par arrêt du 6 novembre 2014 dans les causes BB.2014.26 et BB.2014.136- 137, le Tribunal pénal fédéral a jugé qu'il convenait de tenter de satisfaire, dans la mesure où cela était encore possible a posteriori,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du code de procédure pénale suisse du 5 octobre 2007 (CPP - RS 312.0) que pour taxer l'activité postérieure à sa saisine, soit en l'espèce dès le 21 janvier 2015.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t>- 12/14 - P/10934/2014 La CPAR s'est jusqu'à présent inspirée des "Instructions relatives à l'établissement de l'état de frais" et de "l'Etat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l'Etat ne devant pas assumer la charge financière de la formation de l'avocat stagiaire, laquelle incombe à son maître de stage, ou la formation continue de l'avocat breveté. 5.2.1. Me B______ a été nommé défenseur d'office de l'appelant le 12 juin 2014. Il a présenté les 17 mars et 15 mai 2015 un état de frais correspondant globalement à 6h20 d'activité déployée du 26 février 2015 au 12 mai 2015, se composant de 30 minutes "d'étude du dossier et déclaration d'appel", 4h50 de "rédaction d'acte d'appel" et de 1h00 de "rédaction d'une réplique", au tarif horaire de CHF 200.-. Dès lors que la durée du travail et le taux facturés par Me B______ apparaissent adéquats, sa note d'honoraire sera admise dans sa totalité, - bien que la déclaration d'appel entre dans le forfait vu l'absence d'obligation de la motiver, dans la mesure où elle est toutefois présentement couplée avec un poste étude du dossier - ce qui correspond à CHF 1'266.60, auxquels il convient d'ajouter l'indemnisation forfaitaire de 20%, soit CHF 253.30, plus la TVA (dans la mesure où l'appelant est sans domicile fixe et vit à Genève) de CHF 121.60. * * * * *</w:t>
      </w:r>
    </w:p>
    <w:p>
      <w:r>
        <w:t>- 13/14 - P/10934/2014</w:t>
      </w:r>
    </w:p>
    <w:p>
      <w:r>
        <w:rPr>
          <w:b/>
        </w:rPr>
        <w:t>E. 4</w:t>
      </w:r>
    </w:p>
    <w:p>
      <w:r>
        <w:t>novembre 1950 (CEDH ; RS 0.101),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w:t>
      </w:r>
    </w:p>
    <w:p>
      <w:r>
        <w:rPr>
          <w:b/>
        </w:rPr>
        <w:t>E. 6</w:t>
      </w:r>
    </w:p>
    <w:p>
      <w:r>
        <w:t>février 2012 et ses deux libérations conditionnelles, dont précisément celle du 30 avril 2014, datant de moins de deux semaines avant une réitération de l'appelant dans la commission d'une infraction spécifique. Par ailleurs, comme relevé à juste titre par le Ministère public, le jugement du TAPEM du 30 avril 2014, dont copie figure dans le dossier du Tribunal de police, mentionnait expressément un avertissement de l'appelant quant à la possibilité d'une réincarcération pour le solde de la peine qui pourrait être ordonnée en cas de commission de nouveaux crimes ou délits dans le délai d'épreuve d'une année ce nonobstant une nouvelle peine ou mesure, en application de l'art. 89 al. 1 CP. Dans ces conditions, il ne saurait être fait grief au tribunal de première instance d'avoir violé le droit d'être entendu de A______ en prononçant la révocation de ladite libération conditionnelle sans apparemment l'interpeller formellement à cet égard, étant relevé au surplus que l'appelant en demandait en appel le simple constat et qu'une supposée violation aurait pu être réparée en phase d'appel dans la mesure où la CPAR jouit d'un plein pouvoir de cognition.</w:t>
      </w:r>
    </w:p>
    <w:p>
      <w:r>
        <w:t>- 9/14 - P/10934/2014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