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AARP/25/2023 vom 24. Januar 2023</w:t>
      </w:r>
    </w:p>
    <w:p>
      <w:r>
        <w:t>GE Cour de justice, 2023-01-24, FR</w:t>
      </w:r>
    </w:p>
    <w:p>
      <w:r>
        <w:rPr>
          <w:b/>
        </w:rPr>
        <w:t xml:space="preserve">Quelle: </w:t>
      </w:r>
      <w:r>
        <w:t>https://mcp.opencaselaw.ch/entscheid/ge_gerichte_AARP_25_2023</w:t>
      </w:r>
    </w:p>
    <w:p>
      <w:r>
        <w:t>FR: GE_GERICHTE AARP/25/2023 du 24 janvier 2023</w:t>
      </w:r>
    </w:p>
    <w:p>
      <w:r>
        <w:t>IT: GE_GERICHTE AARP/25/2023 del 24 gennaio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w:t>
      </w:r>
    </w:p>
    <w:p>
      <w:r>
        <w:t>- 6/16 - P/1200/2020</w:t>
      </w:r>
    </w:p>
    <w:p>
      <w:r>
        <w:t>La Chambre limite son examen aux violations décrites dans l'acte d'appel (art. 404 al. 1 CPP), sauf en cas de décisions illégales ou inéquitables (art. 404 al. 2 CPP).</w:t>
      </w:r>
    </w:p>
    <w:p>
      <w:r>
        <w:rPr>
          <w:b/>
        </w:rPr>
        <w:t>E. 2.1</w:t>
      </w:r>
    </w:p>
    <w:p>
      <w:r>
        <w:t>Se rend coupable de contrainte au sens de l'art. 181 CP, passible d’une peine privative de liberté de trois ans au plus ou d’une peine pécuniaire, celui qui, en usant de violence envers une personne ou en la menaçant d'un dommage sérieux ou en l'entravant de quelque autre manière dans sa liberté d'action, l'oblige à faire, à ne pas faire ou à laisser faire quelque chose (ATF 141 IV 437 consid. 3.2.1 ; 134 IV 216 consid. 4.4). D'un point de vue subjectif, l'art. 181 CP exige que l'auteur agisse avec intention, c'est-à-dire que, conscient de l'illicéité de son comportement, il veuille contraindre sa victime à adopter un certain comportement ; le dol éventuel suffit (ATF 120 IV 17 consid. 2c ; 96 IV 58 consid. 5 ; arrêt 6B_461/2020 du 19 avril 2021 consid. 2.3).</w:t>
      </w:r>
    </w:p>
    <w:p>
      <w:r>
        <w:t>Le bailleur qui change les clés de l’appartement remis à bail, pour empêcher son locataire d’y accéder et en reprendre ainsi possession sans passer par la procédure d’expulsion, entrave son locataire dans sa liberté d’action et se rend ainsi coupable de contrainte (cf. arrêts du Tribunal fédéral 6B_510/2022 du 31 août 2022 et 6B_1008/2021 du 9 novembre 2021).</w:t>
      </w:r>
    </w:p>
    <w:p>
      <w:r>
        <w:rPr>
          <w:b/>
        </w:rPr>
        <w:t>E. 2.2</w:t>
      </w:r>
    </w:p>
    <w:p>
      <w:r>
        <w:t>L’art. 186 CP punit d’une peine privative de liberté de trois ans au plus ou d’une peine pécuniaire celui qui, d’une manière illicite et contre la volonté de l’ayant droit, aura pénétré dans une maison, dans une habitation, dans un local fermé faisant partie d’une maison, dans un espace, cour ou jardin clos et attenant à une maison. Le droit au domicile appartient à la personne qui a le pouvoir de disposer des lieux, en vertu d'un droit contractuel, d'un droit réel ou d'un rapport de droit public (ATF 128 IV 81 consid. 3 p. 84 ; arrêt du Tribunal fédéral 6B_1056/2013 du 20 août 2014 consid. 1.1). En concluant un contrat de bail, le bailleur renonce à son droit au domicile, de sorte que, pendant la durée du contrat, seul le locataire, respectivement le sous-locataire, dispose de la qualité d'ayant droit au sens de l'art. 186 CP (B. CORBOZ, Les infractions en droit suisse, volume I, 3e édition, Berne 2010, n. 27 ad art. 186 CP). Au terme du contrat, le locataire demeure, aussi longtemps qu'il conserve la maîtrise effective des lieux qu'il occupe, seul titulaire du droit au domicile ; ce droit cesse avec le départ de l'occupant. La violation du contrat de bail à loyer par le locataire touche aux prétentions de droit civil du bailleur et du propriétaire, mais n'empiète pas sur la sphère privée qui est l'objet de la liberté de domicile protégé par le droit pénal. Dans de tels cas, le bailleur ne pourra avoir recours qu'aux moyens offerts par la procédure civile et le droit de la poursuite pour dettes et faillite (ATF 112 IV 31 consid. 3 p. 33 s. ; arrêt du Tribunal fédéral 6B_1056/2013 du 20 août 2014 consid. 1.1 ; M. DUPUIS / L. MOREILLON / C. PIGUET / S. BERGER / M. MAZOU / V. RODIGARI, op. cit., n. 21 ad art. 186).</w:t>
      </w:r>
    </w:p>
    <w:p>
      <w:r>
        <w:t>- 7/16 - P/1200/2020</w:t>
      </w:r>
    </w:p>
    <w:p>
      <w:r>
        <w:rPr>
          <w:b/>
        </w:rPr>
        <w:t>E. 2.3</w:t>
      </w:r>
    </w:p>
    <w:p>
      <w:r>
        <w:t>Selon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putatifs ou encore sur un autre élément qui peut avoir pour effet d'atténuer ou d'exclure la peine (ATF 129 IV 257 consid. 2.2.1 p. 259 ; 129 IV 6).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arrêts du Tribunal fédéral 6B_220/2015 du 10 février 2016 consid. 3.4.1 et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 arrêts du Tribunal fédéral 6B_960/2017 du 2 mai 2018 consid. 3.2 ; 6B_507/2017 du 8 septembre 2017 consid. 3.4).</w:t>
      </w:r>
    </w:p>
    <w:p>
      <w:r>
        <w:rPr>
          <w:b/>
        </w:rPr>
        <w:t>E. 2.4</w:t>
      </w:r>
    </w:p>
    <w:p>
      <w:r>
        <w:t>En l’espèce, il ressort de la procédure que l’appelante principale était au bénéfice d’un contrat de bail, plus précisément de sous-location, portant sur un appartement dont la prévenue, bailleresse, était locataire principale. A la suite de leur litige, celle- ci a adopté une attitude contradictoire, puisqu’elle a refusé la résiliation anticipée du bail, en rappelant que le délai de congé était de deux mois, tout en invitant sa locataire à se présenter pour un état des lieux de sortie le 31 janvier 2019, soit deux mois avant l’échéance du bail. Si la locataire avait accepté cette situation en participant à l’état des lieux de sortie, l’intimée aurait logiquement recouvré la possession des lieux. Tel n’a toutefois pas été le cas. Manifestement en raison de leur litige, les parties n’ont pas réussi à s’entendre pour convenir d’une résiliation anticipée de bail. L’appelante a certes intégré un autre appartement en France, ne conservant en quelque sorte celui de Genève qu’à titre de résidence secondaire. Elle n’a toutefois pas définitivement quitté les lieux. La prévenue l’admet d’ailleurs à demi-mot, en lui reprochant de ne pas avoir acquitté le loyer pour les mois de février</w:t>
      </w:r>
    </w:p>
    <w:p>
      <w:r>
        <w:t>- 8/16 - P/1200/2020 et mars 2019 ainsi que de ne pas avoir procédé au nettoyage final avant qu’elle ne reprenne possession des lieux. La demande de la régie, qui visait à pouvoir organiser une visite de l’appartement quelques jours plus tard, demande que la prévenue n’allègue même pas avoir transmise à sa locataire, ne l’autorisait pas à pénétrer dans l’appartement à l’insu et contre le gré de sa locataire. Il lui incombait en effet de lui transmettre cette information afin que celle-ci prenne les dispositions nécessaires, ce qu’elle aurait d’autant plus aisément pu faire que les parties correspondaient par courriel et par messagerie téléphonique. Le fait que l’appartement semblait inoccupé (stores baissés) ne justifie pas non plus, en l’absence d’urgence, d’y entrer sans autorisation et d’en changer les serrures. Le fait qu’un locataire soit absent (il peut être en vacances), voire qu’il n’utilise que ponctuellement l’objet du bail (comme par exemple une résidence secondaire, ou en raison d’études ou d’occupation temporaire à l’étranger) ne signifie pas encore qu’il l’a abandonné et que le propriétaire peut en reprendre possession. Il n’y a en particulier pas d’erreur sur ce point, laquelle n’est pas plaidée et n’apparaît au surplus pas compatible avec le comportement de la prévenue au moment des faits, qui procède bien plutôt d’une volonté d’évacuer rapidement sa locataire. La prévenue ne peut enfin rien tirer du fait que la partie plaignante a limité ses conclusions civiles devant le TBL aux loyers courant jusqu’en janvier 2019, puisque ces conclusions ont été déposées plusieurs mois plus tard et tenaient manifestement compte du fait que la locataire avait perdu l’accès à son appartement en février. Ainsi, et comme l’a aussi retenu le TBL, dans la mesure où le contrat de bail n’avait pas pris fin, la prévenue n’était pas autorisée à pénétrer dans l’appartement objet du bail avant que la locataire ne l’eut définitivement quitté. Il en découle que la prévenue s’est bien rendue coupable de violation de domicile, au sens de l’art. 186 CP, en pénétrant dans l’appartement sis no. ______ bd 1______ sans l’accord de la sous-locataire, aux alentours du 13 février 2019. Par ailleurs, en changeant les serrures de cet appartement pour empêcher sa sous- locataire d’y pénétrer et en mettant de la sorte, de facto, une fin prématurée au contrat de bail, la prévenue a entravé l’appelante principale dans la jouissance de son bien et s’est ainsi également rendue coupable de contrainte (art. 181 CP). Le jugement entrepris sera donc modifié sur ce point.</w:t>
      </w:r>
    </w:p>
    <w:p>
      <w:r>
        <w:rPr>
          <w:b/>
        </w:rPr>
        <w:t>E. 3.1</w:t>
      </w:r>
    </w:p>
    <w:p>
      <w:r>
        <w:t>Selon l'art. 47 CP, le juge fixe la peine d'après la culpabilité de l'auteur. Il prend en considération les antécédents et la situation personnelle de ce dernier ainsi que</w:t>
      </w:r>
    </w:p>
    <w:p>
      <w:r>
        <w:t>- 9/16 - P/1200/2020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p. 57 ; arrêt du Tribunal fédéral 6B_675/2019 du 17 juillet 2010 consid. 4.1). Le droit de se taire et de ne pas s'auto-incriminer, qui fait partie des normes internationales généralement reconnues, selon l'art. 6 par. 1 CEDH (ATF 121 II 257 consid. 4a p. 264),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w:t>
      </w:r>
    </w:p>
    <w:p>
      <w:r>
        <w:t>- 10/16 - P/1200/2020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3.4</w:t>
      </w:r>
    </w:p>
    <w:p>
      <w:r>
        <w:t>En l’espèce, la faute de la prévenue est légère. Ses mobiles relèvent essentiellement de la volonté de se faire justice propre, dans un contexte de litige civil. Elle a agi par facilité, sans respecter la sphère privée de sa locataire, et vraisemblablement aussi dans un mouvement de colère en raison du litige les opposant. En raison du refus de la prévenue de s’exprimer sur sa situation personnelle, il est difficile d’apprécier plus finement sa faute. Rien ne justifiait toutefois, dans de telles circonstances, et alors qu’elle avait retiré de juteux bénéfices de la sous-location litigieuse, qu’elle agisse de la sorte et se substitue à l’autorité légitime. Elle aurait en effet pu contacter sa locataire (notamment par téléphone, courriel ou WhatsApp, moyens que les parties avaient utilisés précédemment), attendre l’échéance du bail voire agir devant le TBL. La prévenue n’a pas d’antécédent et remplit les conditions du prononcé d’une peine pécuniaire, adéquate pour sanctionner son comportement illicite. La contrainte et la violation de domicile sont objectivement d’égale gravité ; la première étant poursuivie d’office, elle constitue néanmoins l’infraction la plus grave pour laquelle une peine de base de dix jours-amende apparaît adéquate au vu de la faute commise et des circonstances de l’espèce. Cette peine sera portée à 15 jours- amende pour tenir compte de la violation de domicile (peine théorique de dix jours- amende). En l’absence d’informations sur la situation financière de la prévenue, le jour- amende sera fixé en fonction du revenu qu’elle a allégué à l’appui de sa demande d’indemnisation, soit un salaire mensuel de l’ordre de CHF 10'000.- ; le montant du jour-amende sera arrêté à CHF 250.-. Cette peine sera assortie du sursis, dont la prévenue remplit les conditions, et d’un délai d’épreuve de deux ans. La privation de liberté consécutive au mandat d’amener (lequel était justifié par le refus de la prévenue de répondre aux convocations de la police, cf. art. 206 al. 2 CPP) sera déduite à raison d’un jour (art. 51 CP). L’appel principal est ainsi admis.</w:t>
      </w:r>
    </w:p>
    <w:p>
      <w:r>
        <w:t>- 11/16 - P/1200/2020</w:t>
      </w:r>
    </w:p>
    <w:p>
      <w:r>
        <w:rPr>
          <w:b/>
        </w:rPr>
        <w:t>E. 4.1</w:t>
      </w:r>
    </w:p>
    <w:p>
      <w:r>
        <w:t>L'appel principal ayant été admis, l’intimée, qui succombe, supportera les frais de la procédure d’appel envers l'État (art. 428 CPP).</w:t>
      </w:r>
    </w:p>
    <w:p>
      <w:r>
        <w:rPr>
          <w:b/>
        </w:rPr>
        <w:t>E. 4.2</w:t>
      </w:r>
    </w:p>
    <w:p>
      <w:r>
        <w:t>Conformément à l’art. 428 al. 3 CPP, si l’autorité de recours rend elle-même une nouvelle décision, elle se prononce également sur les frais fixés par l’autorité inférieure.</w:t>
      </w:r>
    </w:p>
    <w:p>
      <w:r>
        <w:rPr>
          <w:b/>
        </w:rPr>
        <w:t>E. 4.3</w:t>
      </w:r>
    </w:p>
    <w:p>
      <w:r>
        <w:t>Selon l'art. 426 al. 1 CPP, le prévenu supporte les frais de procédure s'il est condamné. L'art. 426 al. 2 CPP précise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4.4</w:t>
      </w:r>
    </w:p>
    <w:p>
      <w:r>
        <w:t>En l’espèce, la prévenue a été définitivement acquittée par le premier juge de l’infraction d’usure qui lui était reprochée par le MP. Elle ne devrait ainsi pas supporter les frais de la procédure en lien avec cette infraction. Cela étant, il découle de la procédure que la prévenue a violé plusieurs règles impératives du droit du bail, en omettant initialement d’adresser à sa locataire la formule officielle relative à la fixation du loyer initial (art. 19 al. 3 de l'ordonnance sur le bail à loyer [OBLF]) et d’avertir le bailleur principal de la sous-location (cf. art. 262 du code des obligations [CO]), étant relevé que le respect de cette seconde obligation aurait permis de rectifier le loyer fixé, lequel était manifestement abusif par rapport à celui du bail principal, au sens de l’art. 262 al. 2 let. b CO. La prévenue a également contrevenu à l’art. 257e CO, qui impose au bailleur, lorsque le locataire fournit des sûretés en espèces, de les déposer auprès d’une banque, sur un compte d’épargne ou de dépôt au nom du locataire. Il en découle que, nonobstant l’acquittement en lien avec l’infraction d’usure, la prévenue a, par ces violations multiples des règles applicables en matière de droit du bail et par la fixation d’un loyer abusif au sens de l’art. 262 CO, provoqué illicitement et fautivement l'ouverture de la procédure pénale. En conséquence, elle supportera l’intégralité des frais de la procédure préliminaire et de première instance.</w:t>
      </w:r>
    </w:p>
    <w:p>
      <w:r>
        <w:rPr>
          <w:b/>
        </w:rPr>
        <w:t>E. 5</w:t>
      </w:r>
    </w:p>
    <w:p>
      <w:r>
        <w:t>décembre 2017 consid. 2.1).</w:t>
      </w:r>
    </w:p>
    <w:p>
      <w:r>
        <w:rPr>
          <w:b/>
        </w:rPr>
        <w:t>E. 5.1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6B_74/2017 du 21 avril 2017 consid. 2.1).</w:t>
      </w:r>
    </w:p>
    <w:p>
      <w:r>
        <w:t>- 12/16 - P/1200/2020 À teneur de l'art. 429 al. 1 let. a CPP, l'indemnité est limitée aux dépenses occasionnées par l'exercice raisonnable des droits de procédure du prévenu.</w:t>
      </w:r>
    </w:p>
    <w:p>
      <w:r>
        <w:rPr>
          <w:b/>
        </w:rPr>
        <w:t>E. 5.2</w:t>
      </w:r>
    </w:p>
    <w:p>
      <w:r>
        <w:t>En vertu de l'art. 430 al. 1 let. a CPP, l'autorité pénale peut réduire ou refuser l'indemnité pour les dépenses occasionnées par l'exercice raisonnable de ses droits de procédure ou la réparation du tort moral (art. 429 al. 1 CPP)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p. 357 ; arrêts du Tribunal fédéral 6B_548/2018 du 18 juillet 2018 consid. 1.1.2 ; 6B_385/2017 du</w:t>
      </w:r>
    </w:p>
    <w:p>
      <w:r>
        <w:rPr>
          <w:b/>
        </w:rPr>
        <w:t>E. 5.3</w:t>
      </w:r>
    </w:p>
    <w:p>
      <w:r>
        <w:t>En l’espèce, la prévenue est condamnée en application des art. 426 al. 1 et 2 CPP à supporter l’intégralité des frais de la procédure. Il n’y a dès lors pas place pour une application de l’art. 429 CPP et elle sera déboutée de ses conclusions en indemnisation. Les mesures de contrainte ordonnées par le MP (mandats) étaient justifiées par les besoins de l’enquête ; aucune indemnisation n’est non plus due de ce fait (art. 431 CPP).</w:t>
      </w:r>
    </w:p>
    <w:p>
      <w:r>
        <w:rPr>
          <w:b/>
        </w:rPr>
        <w:t>E. 6.1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w:t>
      </w:r>
    </w:p>
    <w:p>
      <w:r>
        <w:t>- 13/16 - P/1200/2020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rPr>
          <w:b/>
        </w:rPr>
        <w:t>E. 6.2</w:t>
      </w:r>
    </w:p>
    <w:p>
      <w:r>
        <w:t>En l’espèce, la partie plaignante obtient gain de cause. Cela étant, les prétentions qu’elle fait valoir ne sont pas du ressort de la Cour de céans. En effet, seuls peuvent être pris en compte pour l’application de l’art. 433 CPP les frais d’avocat en lien avec la procédure pénale ; or, l’appelante n’a pas été assistée d’un conseil, les frais d’avocat qu’elle fait valoir étant liés à la procédure devant le TBL. Par ailleurs, la demande en paiement liée au remboursement de la caution et à des frais postaux est doublement irrecevable. Il s’agit en effet de conclusions civiles en réparation du dommage matériel, qui n’ont pas été formulées dans la déclaration d’appel et qui, de surcroît, font l’objet de la procédure TBL. Cette litispendance fait ainsi obstacle, en tout état de cause, à leur examen par la CPAR. L’appelante sera dès lors déboutée de ses conclusions en indemnisation. * * * * *</w:t>
      </w:r>
    </w:p>
    <w:p>
      <w:r>
        <w:t>- 14/16 - P/1200/2020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