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AARP/259/2024 vom 23. Juli 2024</w:t>
      </w:r>
    </w:p>
    <w:p>
      <w:r>
        <w:t>GE Cour de justice, 2024-07-23, FR</w:t>
      </w:r>
    </w:p>
    <w:p>
      <w:r>
        <w:rPr>
          <w:b/>
        </w:rPr>
        <w:t xml:space="preserve">Quelle: </w:t>
      </w:r>
      <w:r>
        <w:t>https://mcp.opencaselaw.ch/entscheid/ge_gerichte_AARP_259_2024</w:t>
      </w:r>
    </w:p>
    <w:p>
      <w:r>
        <w:t>FR: GE_GERICHTE AARP/259/2024 du 23 juillet 2024</w:t>
      </w:r>
    </w:p>
    <w:p>
      <w:r>
        <w:t>IT: GE_GERICHTE AARP/259/2024 del 23 luglio 2024</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2.1.2.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w:t>
      </w:r>
    </w:p>
    <w:p>
      <w:r>
        <w:t>- 11/26 - P/14285/2023 viole le droit d'être entendu que si l'appréciation de la pertinence du moyen de preuve offert, à laquelle le juge a ainsi procédé, est entachée d'arbitraire (ATF 141 I 60 consid. 3.3 ; arrêt du Tribunal fédéral 6B_891/2018 du 31 octobre 2018 consid. 2.1). Ni l'art. 29 al. 2 de la Constitution fédérale de la Confédération suisse (Cst.), ni l'art. 6 § 3 let. d de la Convention de sauvegarde des droits de l’homme et des libertés fondamentales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1P_679/2003 du 2 avril 2004 consid. 3.1 ; ATF 121 I 306 consid. 1b ; CourEDH Ubach Mortes Antoni c. Andorre du 4 mai 2000, § 2). Il peut être renoncé à des actes d'instructions jugés disproportionnés en rapport avec les intérêts en jeu (arrêt du Tribunal fédéral 1B_67/2012 du 29 mai 2012 consid. 3.2 ; cf aussi ACPR/540/2012 du 28 novembre 2012).</w:t>
      </w:r>
    </w:p>
    <w:p>
      <w:r>
        <w:rPr>
          <w:b/>
        </w:rPr>
        <w:t>E. 2.2</w:t>
      </w:r>
    </w:p>
    <w:p>
      <w:r>
        <w:t>À teneur de l'art. 189 CPP, la direction de la procédure fait, d'office ou à la demande d'une partie, compléter ou clarifier une expertise par le même expert ou désigne un nouvel expert dans les cas suivants : l'expertise est incomplète ou peu claire (let. a) ; plusieurs experts divergent notablement dans leurs conclusions (let. b); l'exactitude de l'expertise est mise en doute (let. c). L'expertise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 du Tribunal fédéral 6B_980/2020 du 23 novembre 2020 consid. 3.1). Si le juge se fonde sur une expertise dont les conclusions apparaissent douteuses sur des points essentiels et qu'il renonce à recueillir des preuves complémentaires, il peut commettre une appréciation arbitraire des preuves et violer l'art. 9 Cst. (ATF 142 IV 49 consid. 2.1.3).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w:t>
      </w:r>
    </w:p>
    <w:p>
      <w:r>
        <w:t>- 12/26 - P/14285/2023 même sans connaissances spécifiques, que le juge ne pouvait tout simplement pas les ignorer (ATF 141 IV 369 consid. 6.1 ; 6B_980/2020 du 23 novembre 2020 consid. 3.1).</w:t>
      </w:r>
    </w:p>
    <w:p>
      <w:r>
        <w:rPr>
          <w:b/>
        </w:rPr>
        <w:t>E. 2.3</w:t>
      </w:r>
    </w:p>
    <w:p>
      <w:r>
        <w:t>En l'espèce, l'appelante sollicite l'apport à la procédure d'un complément d'expertise ainsi que l'audition de la Dresse J______. L'expertise psychiatrique réalisée dans le cadre de la présente procédure par des experts indépendants est claire, complète et aucun motif ne conduit à douter de son bien-fondé. L'appelante a fait part de ses corrections et précisions par le biais de courriers adressés aux deux médecins l'ayant expertisée, qui en ont bien pris connaissance. À cela s'ajoute encore que l'appelante, assistée de son conseil, a eu l'opportunité de poser des questions à l'une des expertes devant le MP, qui a confirmé les conclusions de l'expertise estimant que les corrections et précisions apportées par l'appelante, notamment sur son anamnèse, ne modifiaient pas le diagnostic posé, mais venaient au contraire le conforter ; elle n’a notamment pas proposé de consulter sa co-experte, n’ayant pas de doute sur ses conclusions. En définitive, rien ne permet de douter du bien-fondé de l'expertise ou de remettre en doute les conclusions des experts. La mise en œuvre d'un complément d'expertise ne se justifie pas. Il en va de même de la demande d'audition de la Dresse J______, qui n'apporterait pas d'élément nouveau. Cette dernière a bien reçu les courriers adressés par l'appelante et aurait ainsi eu la possibilité d'apporter des corrections à l'expertise si elle l'avait jugé nécessaire. En outre, la Dresse I______, qui a été entendue par le MP, interrogée par l'appelante et qui a confirmé les conclusions de l'expertise, était l'experte diligentée sur cette expertise, la Dresse J______ l'assistant. Enfin, l'appelante sollicite également l'audition de G______ alors qu'elle a expliqué ne plus avoir eu de contact avec celui-ci depuis le mois d'octobre 2022. Ce dernier ne la côtoyait dès lors pas à Genève et n'est pas en mesure de témoigner sur les faits reprochés, si bien que son audition n'apporterait aucun éclaircissement.</w:t>
      </w:r>
    </w:p>
    <w:p>
      <w:r>
        <w:rPr>
          <w:b/>
        </w:rPr>
        <w:t>E. 2.4</w:t>
      </w:r>
    </w:p>
    <w:p>
      <w:r>
        <w:t>L'art. 100 CPP prévoit qu'un dossier est constitué pour chaque affaire pénale. Il contient notamment les pièces versées par les parties. Tel qu'il est garanti à l'art. 29 al. 2 Cst.,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187 consid. 2.2 p. 190; 135 II 286 consid. 5.1 p. 293).</w:t>
      </w:r>
    </w:p>
    <w:p>
      <w:r>
        <w:t>- 13/26 - P/14285/2023 Il en découle que le courrier de l’appelante doit être versé au dossier de la procédure (voir également à ce sujet l’arrêt du Tribunal fédéral 6B_592/2013 du 22 octobre 2014, consid. 1). Les questions préjudicielles sont ainsi rejetées.</w:t>
      </w:r>
    </w:p>
    <w:p>
      <w:r>
        <w:rPr>
          <w:b/>
        </w:rPr>
        <w:t>E. 3.1</w:t>
      </w:r>
    </w:p>
    <w:p>
      <w:r>
        <w:t>L'art. 259 al. 1 CP punit quiconque provoque publiquement à un délit impliquant la violence contre autrui ou contre des biens ou à un crime. Selon la jurisprudence, la notion de provocation doit être interprétée comme celle de provocation ou d'incitation à la violation des devoirs militaires (art. 276 CP). Constitue une telle provocation ou incitation, le propos empreint d'une insistance certaine qui, par sa forme et son contenu, est de nature à influencer la volonté du destinataire (ATF99 IV 94 ; 97 IV 105), sans qu'il désigne nécessairement de manière explicite l'infraction visée, cette dernière devant cependant pouvoir être déduite par un lecteur non prévenu du contenu ou du contexte de l'appel (ATF 111 IV 151, consid. 1a). 3.2.1.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 ATF 128 IV 53 consid. 1a). Il faut donc que l'atteinte fasse apparaître la personne visée comme méprisable, qu'il s'agisse d'un être humain ou d'une entité juridique (ATF 114 IV 14 consid. 2a). Il ne suffit pas qu'elle l'abaisse dans la bonne opinion qu'elle a d'elle- 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 ATF 128 IV 53 consid. 1a ; arrêt du Tribunal fédéral 6B_441/2016 du 29 mars 2017 consid. 4.1). 3.2.2. Se rend coupable d'injure celui qui aura, par la parole, l'écriture, l'image, le geste ou par des voies de fait, attaqué autrui dans son honneur (art. 177 al. 1 CP).</w:t>
      </w:r>
    </w:p>
    <w:p>
      <w:r>
        <w:t>- 14/26 - P/14285/2023 Cette infraction, subsidiaire à la diffamation (art. 173 CP), réprime trois formes d'atteinte à l'honneur, soit : (1) un jugement de valeur offensant, (2) une injure formelle, (3) un fait attentatoire à l'honneur allégué en s'adressant au lésé (M. DUPUIS et al., op. cit., n. 9 ad art. 177). L'injure formelle, qui consiste en des expressions outrageantes, des termes de mépris ou des invectives (ATF 128 IV 53 consid. I/A/1/f/aa), est une simple expression de mépris, qui ne permet pas de distinguer s'il s'agit d'une allégation de fait ou d'un jugement de valeur. La marque de mépris doit toutefois être d'une certaine gravité, excédant ce qui est acceptable (M. DUPUIS et al., op. cit., n. 12-13 ad art. 177). Le terme "pute" consiste en une injure formelle désignant une prostituée et dénotant une marque évidente de mépris (arrêt du Tribunal fédéral 6B_938/2017 du 2 juillet 2018 consid. 5.3.1). 3.2.3.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3.2.4. Du point de vue subjectif, les infractions aux art 173 ch. 1 et 177 al. 1CP sont intentionnelles et exigent que l'auteur ait eu conscience du caractère attentatoire à l'honneur de ses propos et qu'il les a néanmoins proférés. L'auteur doit vouloir ou accepter que son allégation soit attentatoire à l'honneur et qu'elle soit communiquée à la victime ou à un tiers, selon le cas d'espèce. Il n'est pas nécessaire qu'il connaisse la fausseté de ses allégations ou que le contenu de ces dernières soit inexact (M. DUPUIS / L. MOREILLON / C. PIGUET / S. BERGER / M. MAZOU / V. RODIGARI (éds), Code pénal - Petit commentaire, 2e éd., Bâle 2017, n. 22 ad art. 173 et n. 19-20 ad art. 177).</w:t>
      </w:r>
    </w:p>
    <w:p>
      <w:r>
        <w:rPr>
          <w:b/>
        </w:rPr>
        <w:t>E. 3.3</w:t>
      </w:r>
    </w:p>
    <w:p>
      <w:r>
        <w:t>L'auteur n'est pas punissable si, au moment d'agir, il ne possédait pas la faculté d'apprécier le caractère illicite de son acte ou de se déterminer d'après cette appréciation (art. 19 al. 1 CP). Lorsqu’un individu est reconnu irresponsable, il doit être affranchi de toute culpabilité et de toute peine, sous réserve du prononcé d’une des mesures prévues aux art. 59 à 61, 63, 64, 67, 67b et 67e (art. 19 al. 3 CP). 3.4.1.1. La publication du 4 avril 2023 contient suffisamment d'éléments permettant d'identifier la partie plaignante ("G______" "Sa marâtre" "Les enfants de H______", "leur père est allé vivre avec une prostituées"). Toutefois, les propos tenus, interprétés objectivement par un destinataire non prévenu, ne sauraient, pris dans leur ensemble ou individuellement, porter atteinte à l'honneur de la plaignante. Tout au</w:t>
      </w:r>
    </w:p>
    <w:p>
      <w:r>
        <w:t>- 15/26 - P/14285/2023 plus, ces propos ("les acteurs du conflit font tout pour nous éloigner de nos chers", "tout fait pour éloigner son père de la famille", les ennemis qui font de ceux qui ont fait de nous ce que nous sommes maintenant", "leurs pourris entourage") sont propres à ternir la réputation de la plaignante en reflétant une mauvaise image d'elle et de son comportement – éloigner un père de ses enfants – et abaisser la bonne opinion de celle-ci. Les éléments constitutifs objectifs de l'art. 173 al. 1 CP ne sont ainsi pas réalisés et l'appel joint doit être rejeté et le jugement entrepris confirmé sur ce point. 3.4.1.2. En revanche, il ne fait aucun doute que le terme de "prostituée", utilisé par l'appelante pour décrire la plaignante, fait apparaitre cette dernière comme une épouse et une belle-mère méprisable aux yeux d'autrui. Cette marque de mépris apparait d'autant plus forte à la lecture du texte dans son ensemble, lequel donne une image négative de la plaignante, qui serait une "marâtre" cherchant à éloigner des enfants de leur père, ce jusqu'au décès de celui-ci. Les éléments constitutifs objectifs de l'infraction d'injure sont ainsi réalisés, tel que retenu par le premier juge. L'appel doit ainsi être rejeté et le jugement entrepris confirmé sur ce point. 3.4.2. Les propos tenus par A______ dans sa publication FACEBOOK du 14 avril 2023, selon lesquels elle appelle à "trancher les têtes" des membres d'un gouvernement, sont suffisamment graves et violents pour constituer un appel public. Elle a admis lors de l'audience en appel s'être rendu compte que ses propos étaient de plus en plus virulents en raison d'une frustration de plus en plus grande au vue l'absence de réaction du gouvernement algérien à ses actions militantes. Par sa publication, elle a voulu attirer l'attention par la provocation. Ce post FACEBOOK constitue un appel à la violence, et non, selon ses dires, une simple métaphore. Les éléments constitutifs objectifs de l'infraction à l'art. 259 al. 1 CP sont ainsi remplis. Il ressort du rapport d'expertise, dont il n'y a pas lieu de douter (cf. 2.3) que A______ avait la faculté d'apprécier le caractère illicite de ses actes mais ne possédait pas la faculté de se déterminer d'après cette appréciation lors de la commission de ces faits. Elle était en état d'irresponsabilité totale. Elle ne peut ainsi pas être reconnue coupable, ni punie pour infraction à l'art. 259 CP. L'appel est rejeté et le jugement entrepris confirmé sur ce point.</w:t>
      </w:r>
    </w:p>
    <w:p>
      <w:r>
        <w:t>- 16/26 - P/14285/2023 3.4.3. Le premier juge a retenu que A______ a commis les faits qualifiés d'entrée illégale et séjour illégal ainsi que d'insoumission à une décision de l'autorité, ce qui n'est pas contesté.</w:t>
      </w:r>
    </w:p>
    <w:p>
      <w:r>
        <w:rPr>
          <w:b/>
        </w:rPr>
        <w:t>E. 4</w:t>
      </w:r>
    </w:p>
    <w:p>
      <w:r>
        <w:t>4.1.1.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4.1.2.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L'expert se détermine ainsi sur l'ensemble des conditions de fait de la mesure, étant gardé à l'esprit qu'il incombe au juge de dire si une mesure doit être ordonnée et, cas échéant, laquelle. En effet, ce n'est pas à l'expert, mais bien au juge qu'il appartient de résoudre les questions juridiques qui se posent, dans le complexe de faits faisant l'objet de l'expertise (ATF 118 Ia 144 consid. 1c ; arrêts du Tribunal fédéral 6B_1160/2017 du 17 avril 2018 consid. 2.1 ; 6B_1348/2017 du 22 janvier 2018 consid. 1.1.3 ; 6B_1297/2015 du 22 mars 2017 consid. 3.1 ; 6B_346/2016 du 31 janvier 2017 consid. 3.2). À l'instar des autres moyens de preuve, le juge apprécie librement la force probante d'une expertise ; il n'est pas lié par les conclusions de l'expert (ATF 145 IV 281 consid. 2.5.1 ; 142 IV 49 consid. 2.1.3 ; 141 IV 369 consid. 6.1). Toutefois, il ne peut s'en écarter que lorsque des circonstances ou des indices importants et bien établis en ébranlent sérieusement la crédibilité. Il est alors tenu de motiver sa décision de ne pas suivre le rapport d'expertise (ATF 142 IV 49 consid. 2.1.3 ; 138 III 193 consid. 4.3.1). Cela est d'autant plus vrai s'agissant des questions dont la réponse demande des connaissances professionnelles particulières (arrêt du Tribunal fédéral 6B_371/2016 du 10 février 2017 consid. 1.1.5). 4.2.1. 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En</w:t>
      </w:r>
    </w:p>
    <w:p>
      <w:r>
        <w:t>- 17/26 - P/14285/2023 d'autres termes, il faut que la structure mentale de l'intéressé s'écarte manifestement de la moyenne par rapport aux autres sujets de droit, mais plus encore par rapport aux autres criminels. La référence à la gravité du trouble mental ne correspond pas à une description quantitative du dérangement psychique, mais signifie uniquement que le trouble mental doit être significatif sur le plan psychiatrique comme sur le plan juridique (arrêt du Tribunal fédéral 6B_1167/2018 du 23 janvier 2019 consid. 4.1).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Le traitement ne peut se limiter à "la simple administration statique et conservatoire des soins", mais doit viser un "impact thérapeutique dynamique". Il doit être suffisamment vraisemblable que celui-ci entraînera, dans les cinq ans de sa durée normale, une réduction nette du risque que l'intéressé commette de nouvelles infractions. La seule possibilité vague d'une diminution du danger ne suffit pas (ATF 140 IV 1 consid. 3.2.4. ; 134 IV 315 consid. 3.4.1 ; arrêts du Tribunal fédéral 6B_130/2018 du 27 juin 2018 consid. 3.1.1 ; 6B_1397/2017 du 26 avril 2018 consid. 1.1.2). 4.2.2.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Cela étant, si un placement en milieu fermé apparaît déjà nécessaire au moment du prononcé du jugement, le juge peut et doit l'indiquer dans les considérants en traitant des conditions de l'art.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 arrêts du Tribunal fédéral 6B_1167/2018 du 23 janvier 2019 consid. 4.3.1). 4.2.3. Aux termes de l'art. 63 al. 1 CP, lorsque l'auteur souffre d'un grave trouble mental, est toxicodépendant ou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L'autorité compétente peut ordonner que l'auteur soit momentanément soumis à un traitement institutionnel initial temporaire si cette mesure permet de passer ensuite à un traitement ambulatoire. Le traitement institutionnel ne peut excéder deux mois au total (art. 63 al. 3 CP).</w:t>
      </w:r>
    </w:p>
    <w:p>
      <w:r>
        <w:t>- 18/26 - P/14285/2023</w:t>
      </w:r>
    </w:p>
    <w:p>
      <w:r>
        <w:rPr>
          <w:b/>
        </w:rPr>
        <w:t>E. 4.3</w:t>
      </w:r>
    </w:p>
    <w:p>
      <w:r>
        <w:t>Toute sanction pénale qui restreint un droit fondamental doit respecter le principe de proportionnalité (art. 36 al. 2 et 3 Cst.). En matière de mesures,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 du Tribunal fédéral 6B_109/2013 du 19 juillet 2013 consid. 4.4.1).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L'importance de l'intérêt public à la prévention d'infractions futures doit se déterminer d'après cette vraisemblance et la gravité des infractions en question. Plus les infractions que l'auteur pourrait commettre sont graves, plus le risque qui justifie le prononcé d'une mesure peut être faible, et inversement. L'atteinte aux droits de la personnalité de l'auteur dépend, quant à elle,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6B_993/2020 du 13 octobre 2020 consid. 1.1 ; 6B_608/2018 du 28 juin 2018 consid. 1.1 ; 6B_1317/2017 du 22 mai 2018 consid. 3.1 ; 6B_1167/2014 du 26 août 2015 consid. 3.1 ; 6B_109/2013 du 19 juillet 2013 consid. 4.4.1 et 4.4.4). Au demeurant, l'art. 56a CP rappelle que si plusieurs mesures s'avèrent appropriées, mais qu'une seule est nécessaire, le juge ordonne celle qui porte à l'auteur les atteintes les moins graves (ATF 118 IV 108 consid. 2a).</w:t>
      </w:r>
    </w:p>
    <w:p>
      <w:r>
        <w:rPr>
          <w:b/>
        </w:rPr>
        <w:t>E. 4.4</w:t>
      </w:r>
    </w:p>
    <w:p>
      <w:r>
        <w:t>En l'espèce, il ressort clairement de l'expertise – dont il n'y a pas lieu de s'écarter des conclusions (cf. 2.3) – que la prévenue présente une pathologie nécessitant des soins et une prise en charge adéquate. La question essentielle est ainsi celle de la proportionnalité de la mesure préconisée par les experts.</w:t>
      </w:r>
    </w:p>
    <w:p>
      <w:r>
        <w:rPr>
          <w:b/>
        </w:rPr>
        <w:t>E. 4.4.1</w:t>
      </w:r>
    </w:p>
    <w:p>
      <w:r>
        <w:t>Comme relevé ci-dessus, la CPAR est appelée à procéder à une pesée des intérêts divergents en présence, c'est-à-dire entre la gravité du danger que la mesure</w:t>
      </w:r>
    </w:p>
    <w:p>
      <w:r>
        <w:t>- 19/26 - P/14285/2023 cherche à éviter et l'importance de l'atteinte aux droits de la prévenue inhérente à la mesure.</w:t>
      </w:r>
    </w:p>
    <w:p>
      <w:r>
        <w:rPr>
          <w:b/>
        </w:rPr>
        <w:t>E. 4.4.2</w:t>
      </w:r>
    </w:p>
    <w:p>
      <w:r>
        <w:t>Il est établi par l'expertise que la mesure préconisée, soit un traitement institutionnel initial en milieu ouvert, est propre en l'espèce à améliorer le pronostic légal de la prévenue ; le traitement préconisé serait de nature à permettre une réduction des risques et notamment une prise de conscience, par la prévenue, de la nature de son trouble. Le principe de l'adéquation est respecté.</w:t>
      </w:r>
    </w:p>
    <w:p>
      <w:r>
        <w:rPr>
          <w:b/>
        </w:rPr>
        <w:t>E. 4.4.3</w:t>
      </w:r>
    </w:p>
    <w:p>
      <w:r>
        <w:t>L'expertise retient également que, dans un premier temps en tout cas, aucune autre mesure ne permettrait d'atteindre le but visé. Les expertes expliquent en effet qu'une prise en charge institutionnelle initiale est recommandée le temps d'introduire un traitement médicamenteux adapté et d'en vérifier l'efficacité et qu'une fois l'état mental de l'appelante stabilisé, une prise en charge ambulatoire pourrait être organisée. Les expertes précisent également qu'une psychothérapie est recommandé afin de faire accepter à l'expertisée son diagnostic, de comprendre l'intérêt du traitement, cette dernière étant ambivalente sur ce sujet, et d'apprendre à reconnaitre les symptômes de décompensation, étant précisé à cet égard que A______ a déjà interrompu à deux reprises ses traitements (le Risperdal en Algérie et le Zyprexa à M______) et qu'elle a indiqué au débats d'appel et dans son texte-commentaire ne pas souhaiter prendre de traitement médicamenteux, lesquels limitaient ses capacités intellectuelles. Le principe de subsidiarité est également respecté.</w:t>
      </w:r>
    </w:p>
    <w:p>
      <w:r>
        <w:rPr>
          <w:b/>
        </w:rPr>
        <w:t>E. 4.4.4</w:t>
      </w:r>
    </w:p>
    <w:p>
      <w:r>
        <w:t>Enfin, la CPAR doit examiner le respect du principe de proportionnalité au sens strict, ce qui commande de procéder à une pesée des intérêts entre, d'une part, la gravité de l'atteinte aux droits du prévenu (en tenant compte des modalités d'exécution de la mesure) et, d'autre part, la nécessité d'un traitement et la vraisemblance que l'auteur commette de nouvelles infractions. Les expertes retiennent un risque élevé de commission de nouvelles infractions du genre de celles qui ont conduit à la présente procédure en l'absence de traitement médicamenteux et notamment du fait que l'appelante présente des facteurs de risque, à savoir sa précarisation et son isolement social en Suisse. Les expertes laissent clairement entendre que dans le cas de la prévenue, la mesure, qui peut être exécutée en milieu ouvert, serait susceptible, après quelques mois, d'être transformée en une mesure de traitement ambulatoire, précisant toutefois qu'une durée initiale de deux mois de traitement institutionnel est trop brève pour atteindre le but visé, préconisant au moins trois mois, de sorte que l'art. 63 al. 3 CP ne trouve pas à s'appliquer. Le prononcé d'une mesure institutionnelle apparait dès lors proportionné. Au vu de ce qui précède, il sera prononcé une mesure institutionnelle, au sens de l'art. 59 CP, mesure qui apparait comme étant la plus appropriée, avec prise indispensable d'un traitement médicamenteux. Il appartiendra au Service de l’application des peines et mesures (SAPEM) de déterminer le lieu d’exécution de la</w:t>
      </w:r>
    </w:p>
    <w:p>
      <w:r>
        <w:t>- 20/26 - P/14285/2023 mesure en tenant compte du milieu ouvert préconisé par les experts, qui apparaît suffisant pour atteindre le but recherché. La détention avant jugement subie du 14 juillet 2023 au 26 juin 2024 sera imputée sur ladite mesure (art. 51 CP).</w:t>
      </w:r>
    </w:p>
    <w:p>
      <w:r>
        <w:rPr>
          <w:b/>
        </w:rPr>
        <w:t>E. 5.1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(arrêt du Tribunal fédéral 6B_40/2022 du 2 février 2023 consid. 2.1.). 5.2.1. À la différence de l'expulsion obligatoire, l'expulsion facultative ne semble pas être subordonnée au prononcé d'une peine. Une mesure au sens des art. 59 à 61 CP ou un internement au sens de l'article 64 CP devraient suffire (M. DUPUIS et al, op. cit., n. 2 ad art. 66abis CP; S. GRODECKI / Y. JEANNERET, L'expulsion judiciaire, in Droit pénal - évolutions en 2018, CEMAJ, Faculté de droit de l'Université de Neuchâtel, Bâle 2017, n. 56; F. GERMANIER, Einige Ungereimtheiten der Landesverweisung (Art. 66a ff. StGB), in Jusletter 21 novembre 2016 ; K. KÜMIN, Darf eine Aufenthaltsbewilligung widerrufen werden, nachdem von einer Landesverweisung abgesehen wurde ?, in : Jusletter 28 novembre 2016). La possibilité de prononcer une expulsion non-obligatoire en cas de prononcé d'une mesure vise en première ligne les personnes irresponsables, au sens de l'art. 19 CP (M. NIGGLI / H. WIPRÄCHTIGER, Basler Kommentar Strafrecht I : Art. 1-136 StGB, 4e éd., Bâle 2019, n. 5 ad art. 66abis CP). L'absence de mention, à l'art. 19 al. 3 CP et à l'art. 374 al. 1 CPP, de la possibilité de prononcer une expulsion, n'y fait pas obstacle, cette absence ne constituant pas un silence qualifié mais plutôt une omission du législateur (S. GRODECKI / Y. JEANNERET, op. cit., n. 56). 5.2.2. À la lecture des textes français et italiens de l'article 66abis CP, la condition selon laquelle les faits de la cause portent sur "un crime ou un délit non visé à l’art. 66a CP" s'applique également en cas de prononcé d'une mesure pour personne</w:t>
      </w:r>
    </w:p>
    <w:p>
      <w:r>
        <w:t>- 21/26 - P/14285/2023 irresponsable ("Le juge peut expulser un étranger du territoire suisse pour une durée de trois à quinze ans si, pour un crime ou un délit non visé à l’art. 66a, celui-ci a été condamné à une peine ou a fait l’objet d’une mesure au sens des art. 59 à 61 ou 64"; "Il giudice può espellere dal territorio svizzero per un tempo da tre a quindici anni lo straniero condannato a una pena o nei confronti del quale è pronunciata una misura ai sensi degli articoli 59-61 o 64 per un crimine o un delitto non previsto nell'articolo 66a"). Toutefois, et quand bien même le texte allemand ne résout pas cette ambiguïté de façon absolue, tel ne peut avoir été l'intention du législateur. En effet, il serait complètement illogique que seul le prévenu irresponsable faisant l'objet d'une mesure en raison d'une infraction n'entrant pas dans la liste des infractions de l'art. 66a CP (qui comprend les infractions les plus graves du code), et dont les faits seraient donc d'une gravité relative, puisse faire l'objet d'une expulsion facultative. Selon une interprétation à la lettre du texte, un prévenu ayant occasionné, en état d'irresponsabilité, des lésions corporelles graves au sens de l'art. 122 CP, voire un homicide au sens de l'art. 111 CP, ne pourrait pas faire l'objet d'une mesure d'expulsion, l'art. 122 CP figurant à l'art. 66a al. 1 lit. b CP, qui ne permet l'expulsion qu'en cas de prononcé d'une peine, alors que si les faits ne devaient être qualifiés "que" de lésions corporelles simples au sens de l'art. 123 CP, l'art. 66abis CP pourrait conduire au prononcé d'une expulsion. Les comparaisons pourraient se multiplier à l'absurde, et démontrent que, nonobstant la teneur française et italienne de l'art. 66abis CP, le législateur a bel et bien souhaité introduire, par cette disposition, la possibilité de prononcer une mesure d'expulsion pour les personnes reconnues irresponsables, sans égard à la nature des faits (remplissant les éléments constitutifs de crimes ou de délits) qui leur sont imputés, et non la réserver aux seules infractions ne faisant pas partie du catalogue de l'art. 66a CP (dans le même sens : M. NIGGLI / H. WIPRÄCHTIGER, op. cit., n. 4 ad art. 66abis CP). 5.2.3. La doctrine qui a examiné cette question souligne unanimement que le prononcé d'une expulsion pour un prévenu reconnu irresponsable doit être guidé par le respect du principe de proportionnalité, et renvoie aux principes et à la jurisprudence développés pour l'examen de la clause de rigueur de l'art. 66a al. 2 CP (M. NIGGLI / H. WIPRÄCHTIGER, op. cit. n. 13 ad art. 66abis CP ; S. GRODECKI / Y. JEANNERET, op. cit. n. 57-58).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 M. NIGGLI / H. WIPRÄCHTIGER, op. cit., n. 6 ad art. 66abis CP).</w:t>
      </w:r>
    </w:p>
    <w:p>
      <w:r>
        <w:rPr>
          <w:b/>
        </w:rPr>
        <w:t>E. 5.3</w:t>
      </w:r>
    </w:p>
    <w:p>
      <w:r>
        <w:t>Le prononcé d'une expulsion facultative doit être décidé en fonction des circonstances d'espèce concrète, et en tenant compte de l'intérêt personnel de la personne concernée et de sa famille. Ainsi, selon la doctrine, le prononcé d'une expulsion facultative à l'encontre d'un prévenu irresponsable au bénéfice d'une autorisation de séjour en Suisse devrait en principe être considéré comme</w:t>
      </w:r>
    </w:p>
    <w:p>
      <w:r>
        <w:t>- 22/26 - P/14285/2023 disproportionné, puisqu'il n'est pas possible de lui reprocher une infraction en raison de son irresponsabilité. Une telle mesure entre bien plus en ligne de compte pour des personnes de passage (M. NIGGLI / H. WIPRÄCHTIGER, op. cit., n. 13 et 16 ad art. 66abis CP).</w:t>
      </w:r>
    </w:p>
    <w:p>
      <w:r>
        <w:rPr>
          <w:b/>
        </w:rPr>
        <w:t>E. 5.4</w:t>
      </w:r>
    </w:p>
    <w:p>
      <w:r>
        <w:t>Depuis le 7 mars 2023, l'inscription de l'expulsion dans le SIS est régie par le règlement (UE) n° 2018/1861 du Parlement européen et du Conseil du 28 novembre 2018 (Règlement SIS Frontières).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 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5.5.1. La présence de l'appelante en Suisse peut être qualifiée de pathologique puisqu'elle s'est rendue dans notre pays suite à une décompensation délirante de son trouble, selon l'expertise psychiatrique. Depuis le 1er novembre 2022, elle se trouve sur notre territoire en situation illégale. Elle n'a aucune perspective d'intégration en Suisse et aucune intégration ne peut être retenue ; elle n'a pas de logement, ni de revenu et ses seules activités ont mis en danger l'intérêt public. Aucun élément ne s'oppose à son retour en Algérie, pays dans lequel elle a toujours vécu, où se trouve sa famille et en particulier ses trois enfants, qui attendent son retour. Au contraire, ses chances de rétablissement, de stabilisation voire de guérison, semblent plus sérieuses en Algérie, où elle pourra bénéficier du soutien de sa famille, selon ses propres déclarations, qu'en Suisse, pays dans lequel elle n'a aucune perspective, aucune racine, aucun repère et aucune attache. Le principe de proportionnalité commande donc de prononcer une expulsion pour une durée de cinq ans. 5.5.2. Il y a inscription de l'expulsion au SIS lorsqu'un individu a été condamné. En l'occurrence, l'appelante a été jugée irresponsable, si bien qu'il sera renoncé à une telle inscription. Le jugement entrepris sera modifié en ce sens.</w:t>
      </w:r>
    </w:p>
    <w:p>
      <w:r>
        <w:t>- 23/26 - P/14285/2023</w:t>
      </w:r>
    </w:p>
    <w:p>
      <w:r>
        <w:rPr>
          <w:b/>
        </w:rPr>
        <w:t>E. 6.1</w:t>
      </w:r>
    </w:p>
    <w:p>
      <w:r>
        <w:t>Lors du prononcé du jugement en appel, la juridiction doit, à l'instar du tribunal de première instance, se prononcer sur la question de la détention. Il y a lieu dès lors d'appliquer mutatis mutandis l'art. 231 CPP et de décider si le condamné doit être placé ou maintenu en détention pour garantir l'exécution de la peine ou de la mesure, ou en prévision d'un éventuel recours, pour autant que les conditions de l'art. 221 CPP soient satisfaites. La juridiction d'appel peut ainsi prononcer le maintien de la détention pour des motifs de sûreté, ou ordonner une mise en détention en se fondant sur l'art. 232 CPP (ATF 139 IV 277 consid. 2.2 p. 280 ; arrêt du Tribunal fédéral 1B_60/2016 du 7 mars 2016 consid. 2.1). La détention ne peut ainsi être ordonnée que si cela est nécessaire à l'exécution de la peine et de la mesure et qu'il y a sérieusement lieu de craindre que le prévenu se soustraie à l'exécution de la mesure (risque de fuite, art. 221 al. 1 let. a CPP), ou qu'il compromette sérieusement la sécurité d'autrui par des crimes ou des délits graves après avoir déjà commis des infractions du même genre (risque de réitération, art. 221 al. 1 let. c CPP); l'autre motif de l'art. 221 CPP (risque de collusion, art. 221 al. 1 let. b CPP) n'entrant en l'espèce pas en ligne de compte.</w:t>
      </w:r>
    </w:p>
    <w:p>
      <w:r>
        <w:rPr>
          <w:b/>
        </w:rPr>
        <w:t>E. 6.2</w:t>
      </w:r>
    </w:p>
    <w:p>
      <w:r>
        <w:t>Il ressort en l'espèce de l'expertise que la prévenue présente un risque de réitération, en l'absence de traitement médicamenteux. Elle est en outre en possession de ses papiers algériens, un risque de fuite étant ainsi possible. Elle a toutefois déclaré ne pas désirer retourner dans son pays mais vouloir rester en Suisse pour continuer ses activités militantes. En outre, les infractions commises ne sont pas des graves délits et il sied de constater que suite à sa publication du 14 avril 2023, l'appelante n'a plus commis d'infraction du même type jusqu'à son arrestation le 14 juillet suivant. Il apparait ainsi que sa détention, ordonnée à la suite de son arrestation le 16 juillet 2023, et qui a duré 348 jours, n'est plus justifiée, de sorte que sa libération immédiate sera ordonnée. Jusqu'à son entrée dans l'établissement d'exécution de la mesure, il sera fait interdiction à l'appelante de publier sur les réseaux sociaux ou de diffuser, de toute autre manière, tout propos violent ou en lien avec G______, C______ et leurs familles (art. 237 CPP).</w:t>
      </w:r>
    </w:p>
    <w:p>
      <w:r>
        <w:rPr>
          <w:b/>
        </w:rPr>
        <w:t>E. 7</w:t>
      </w:r>
    </w:p>
    <w:p>
      <w:r>
        <w:t>Au vu des circonstances et de l'impécuniosité de l'appelante, les frais seront laissés à la charge de l'État (art. 419 CPP).</w:t>
      </w:r>
    </w:p>
    <w:p>
      <w:r>
        <w:rPr>
          <w:b/>
        </w:rPr>
        <w:t>E. 8</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- 24/26 - P/14285/2023</w:t>
      </w:r>
    </w:p>
    <w:p>
      <w:r>
        <w:t>8.1.2. L'activité consacrée aux conférences, audiences et autres actes de la procédure est majorée de 10% lorsque l'état de frais porte sur plus de 30 heures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8.2</w:t>
      </w:r>
    </w:p>
    <w:p>
      <w:r>
        <w:t>À l'aune de ces principes, il convient de retrancher de l'état de frais de la défenseure d'office les 45 minutes d'analyse du jugement de première instance, cet acte étant couvert par le forfait pour activités diverses, et 2h15 pour la préparation de l'audience de jugement, cinq heures devant suffire à une cheffe d'étude, supposée rapide et expéditive, qui connaît bien le dossier pour l'avoir plaidé en première instance deux mois auparavant.</w:t>
      </w:r>
    </w:p>
    <w:p>
      <w:r>
        <w:t>En conclusion, la rémunération sera arrêtée à CHF 3'516.85 correspondant à 14h20 d'activité au tarif de CHF 200.-/heure (CHF 2'866.70) plus la majoration forfaitaire de 10% (CHF 286.67), un déplacement à CHF 100 et l'équivalent de la TVA au taux de 8.1% en CHF 263.50. * * * * *</w:t>
      </w:r>
    </w:p>
    <w:p>
      <w:r>
        <w:t>- 25/26 - P/14285/2023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