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AARP/259/2013 vom 31. Mai 2013</w:t>
      </w:r>
    </w:p>
    <w:p>
      <w:r>
        <w:t>GE Cour de justice, 2013-05-31, FR</w:t>
      </w:r>
    </w:p>
    <w:p>
      <w:r>
        <w:rPr>
          <w:b/>
        </w:rPr>
        <w:t xml:space="preserve">Quelle: </w:t>
      </w:r>
      <w:r>
        <w:t>https://mcp.opencaselaw.ch/entscheid/ge_gerichte_AARP_259_2013</w:t>
      </w:r>
    </w:p>
    <w:p>
      <w:r>
        <w:t>FR: GE_GERICHTE AARP/259/2013 du 31 mai 2013</w:t>
      </w:r>
    </w:p>
    <w:p>
      <w:r>
        <w:t>IT: GE_GERICHTE AARP/259/2013 del 31 maggio 2013</w:t>
      </w:r>
    </w:p>
    <w:p>
      <w:pPr>
        <w:pStyle w:val="Heading2"/>
      </w:pPr>
      <w:r>
        <w:t>Erwägungen</w:t>
      </w:r>
    </w:p>
    <w:p>
      <w:r>
        <w:rPr>
          <w:b/>
        </w:rPr>
        <w:t>E. 1</w:t>
      </w:r>
    </w:p>
    <w:p>
      <w:r>
        <w:t>L'appel du Ministère public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Dans son appel, le Ministère public conteste le prononcé d'un traitement institutionnel en milieu fermé en lieu et place d'une mesure d'internement. 2.1.1 Selon l'art. 56 al. 1 CP, une mesure doit être ordonnée si une peine seule ne peut écarter le danger que l'auteur commette d'autres infractions (let. a), si l'auteur a besoin d'un traitement ou que la sécurité publique l'exige (let. b) et si les conditions</w:t>
      </w:r>
    </w:p>
    <w:p>
      <w:r>
        <w:t>- 8/12 - P/15360/2011 prévues aux art. 59 à 61, 63 ou 64 sont remplies (let. c).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2.1.2 L'internement fondé sur l'art. 64 CP suppose d'abord que l'auteur ait commis l'une des infractions énumérées à l'alinéa 1 de cette disposition, soit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tant pour les infractions citées dans le catalogue que celles visées par la clause générale de l'art. 64 al. 1 CP (cf. M. NIGGLI / H. WIPRÄCHTIGER, Basler Kommentar Strafrecht I : Art. 1-110 StGB, Jugendstrafgesetz, 2e éd., Bâle 2007, n. 22 ad art. 64). 2.1.3 Il faut en outre que l'une des conditions alternatives posées à l'art. 64 al. 1 CP soit réalisée, à savoir qu'en raison des caractéristiques de la personnalité de l'auteur, des circonstances dans lesquelles il a commis l'infraction et de son vécu, il soit sérieusement à craindre qu'il ne commette d'autres infractions du même genre (let. a) ou qu'en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2.1.4 Ainsi, un trouble mental ne constitue pas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(arrêt du Tribunal fédéral 6B_486/2009 du 28 octobre 2009 consid. 6.6). En revanche,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p. 131; arrêt du Tribunal fédéral</w:t>
      </w:r>
    </w:p>
    <w:p>
      <w:r>
        <w:t>- 9/12 - P/15360/2011 6B_575/2010 du 16 décembre 2010, consid. 3.4; R. ROTH / L. MOREILLON (éds), Commentaire romand: Code pénal I : art. 1-100 CP, Bâle 2009, n. 22 ad art. 64),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consid. 3.2 et 3.3 p. 320 s.; 134 IV 121 consid. 3.4.2 p. 130; arrêt du Tribunal fédéral 6B_575/2010 du 16 décembre 2010, consid. 3.4). Cette subsidiarité traduit aussi, dans le domaine de l'internement, le principe de la proportionnalité qui s'applique à toutes les mesures (art. 56 al. 2 CP), selon lequel l'atteinte aux droits de la personnalité qui résulte pour l'auteur d'une mesure ne doit pas être disproportionnée au regard de la vraisemblance qu'il commette de nouvelles infractions et de leur gravité (arrêt du Tribunal fédéral 6B_575/10 du 16 décembre 2010, consid. 3.4; ATF 6B_604/2007 du 9 janvier 2008 consid. 6.2). 2.1.5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134 IV 315 consid. 3.4.1 p. 321 également arrêt du Tribunal fédéral 6B_978/2010 du 1er septembre 2011, consid. 3.1.2 et arrêt 6B_92/2010 du 30 mars 2010 consid. 1.2). L'exigence d'un tel pronostic ne signifie pas qu'un condamné souffrant de trouble mental ne pourra pas recevoir l'assistance nécessaire, mais seulement que la mesure préconisée par l'art. 59 CP n'est pas adéquate (R. ROTH / L. MOREILLON (éds), op. cit., n. 15 ad art. 59 CP), tout au moins dans l'état des choses au moment où la décision est rendue. 2.1.6 De pratique constante, le juge n'a pas à substituer son appréciation à celle de l'expert. Il ne peut s'écarter du résultat d'une expertise judiciaire sans motifs déterminants, soit lorsqu'aucune circonstance bien établie n'ébranle sérieusement la crédibilité du rapport (ATF 122 V 157 consid. 1c p. 160; 119 Ib 254 consid. 8a p. 274).</w:t>
      </w:r>
    </w:p>
    <w:p>
      <w:r>
        <w:t>- 10/12 - P/15360/2011 2.2.1 Il n'est pas contesté ni contestable que l'appelant souffre d'un trouble mental, soit d'un trouble de la personnalité dyssociale, lequel avait été diagnostiqué par le Dr G______ en juin 2008 et dont l'existence a été confirmée par le Dr H______ dans son rapport d'expertise du 22 mars 2012. L'existence d'une maladie psychiatrique avait d'ailleurs déjà été mise en évidence par l'expertise de 2003 de la Dresse F______. A l'instar de son prédécesseur, le Dr H______ a qualifié l'affection de sévère et retenu que l'on était en présence d'un grave trouble de la personnalité assimilé à un trouble mental grave. Dans son rapport, l'expert a fait état d'un narcissisme pervers et d'un déficit émotionnel manifeste. A la question de savoir si l'acte punissable reproché au prévenu était en rapport avec son étant mental, l'expert a répondu par l'affirmative (expertise, p. 13). Il a ajouté que le risque de récidive était élevé compte tenu du trouble de la personnalité. Aux questions, posées de manière alternative par la mission d'expertise, de savoir si le risque de récidive d'infractions du même genre (viol notamment) était à mettre en relation avec les caractéristiques de la personnalité du prévenu, les circonstances dans lesquelles il avait commis l'infraction et son vécu ou avec un grave trouble mental chronique ou récurrent, l'expertise a répondu deux fois par l'affirmative. Toutefois, selon les explications fournies en audience d'instruction par l'expert, le risque de commission de nouvelles agressions est bien lié à sa maladie mentale, le trouble de la personnalité dyssociale résidant dans le fait de percevoir autrui comme un objet (procès-verbal d'audience du 30 mai 2012, p. 6). Il résulte de ce qui précède que l'on peut déduire sans ambiguïté des explications de l'expert que c'est bien le grave trouble de la personnalité assimilé à un grave trouble mental qui est à l'origine du viol commis et qui explique le risque de récidive. En présence d'une maladie psychiatrique grave, l'internement s'examine par conséquent selon les conditions de l'art. 64 al. 1 let. b CP, l'hypothèse de la lettre a étant réservée aux délinquants qui ne présentent pas des troubles répondant à un diagnostic psychiatrique qui seraient à l'origine de leurs actes délictueux, mais dont la dangerosité justifierait l'internement. La doctrine souligne d'ailleurs à cet égard que contrairement à la systématique de l'art. 64 CP, qui fait figurer le cas du délinquant souffrant d'un trouble mental en deuxième lieu, c'est cette hypothèse qui doit s'examiner en premier, la variante de la lettre a n'entrant en ligne de compte que si celle de la lettre b ne trouve pas application (M. NIGGLI / H. WIPRÄCHTIGER, op. cit., n. 45 ad art. 64 et R. ROTH / L. MOREILLON (éds), op. cit., n. 25-26 ad art. 64). C'est par conséquent à juste titre que les premiers juges ont examiné la situation de l'intimé sous l'angle de l'art. 64 al. 1 let. b CP.</w:t>
      </w:r>
    </w:p>
    <w:p>
      <w:r>
        <w:t>- 11/12 - P/15360/2011 2.2.2 Pour écarter l'internement au profit d'un traitement institutionnel en milieu fermé, dans le respect de l'exigence de subsidiarité expressément prévue par la loi, le Tribunal correctionnel s'est fondé sur les conclusions de l'expertise judiciaire. Au sujet des possibilités thérapeutiques, l'expert relève que, lors des entretiens, l'expertisé remettait partiellement en question ses actes. Celui-ci avait débuté un suivi psychothérapeutique à la prison, ce qui est attesté par le certificat de J______ du 16 avril 2013 et, s'il rejetait toujours la responsabilité sur les autres, il concédait avoir mal apprécié la situation et, par conséquent, mal géré son comportement. Pour l'expert, cela signait un début de remise en question et laissait "une porte d'entrée pour un travail thérapeutique", qui était un outil bien développé. Si un échec d'un traitement institutionnel ne pouvait être exclu, l'expert a souligné qu'en l'occurrence une mesure thérapeutique de longue durée en milieu fermé pouvait donner des résultats positifs, à la condition que l'expertisé prenne conscience de son fonctionnement dyssocial et trouve un intérêt à changer, ceci à travers une approche motivationnelle. Sur cette base, la Cour considère, sans qu'il ne soit nécessaire d'ordonner un complément d'expertise, que même si l'expert s'est montré prudent dans ses conclusions, il a ce nonobstant retenu que les possibilités thérapeutiques en vue de réduire le risque de récidive étaient susceptibles de donner des résultats positifs sur le long terme, ce qui va au-delà d'un simple espoir hypothétique. A l'instar des premiers juges, force est de constater qu'un traitement institutionnel en milieu fermé n'est en l'occurrence pas d'emblée voué à l'échec. Partant, dans le strict respect de la proportionnalité, les conditions pour prononcer un internement ne sont pas réunies. 2.2.3 Par ces motifs, l'appel du Ministère public sera rejeté et le jugement entrepris confirmé. Vu la qualité de l'appelant, les frais de la procédure seront laissés à la charge de l'Etat (M. NIGGLI / M. HEER / H. WIPRÄCHTIGER, Schweizerische Strafprozessordnung/Schweizerische Jugendstrafprozessordnung, Basler Kommentar StPO/JStPO, Bâle 2010, n. 8 ad art. 428).</w:t>
      </w:r>
    </w:p>
    <w:p>
      <w:r>
        <w:t>* * * * *</w:t>
      </w:r>
    </w:p>
    <w:p>
      <w:r>
        <w:t>- 12/12 - P/15360/2011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