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AARP/258/2017 vom 18. Juli 2017</w:t>
      </w:r>
    </w:p>
    <w:p>
      <w:r>
        <w:t>GE Cour de justice, 2017-07-18, FR</w:t>
      </w:r>
    </w:p>
    <w:p>
      <w:r>
        <w:rPr>
          <w:b/>
        </w:rPr>
        <w:t xml:space="preserve">Quelle: </w:t>
      </w:r>
      <w:r>
        <w:t>https://mcp.opencaselaw.ch/entscheid/ge_gerichte_AARP_258_2017</w:t>
      </w:r>
    </w:p>
    <w:p>
      <w:r>
        <w:t>FR: GE_GERICHTE AARP/258/2017 du 18 juillet 2017</w:t>
      </w:r>
    </w:p>
    <w:p>
      <w:r>
        <w:t>IT: GE_GERICHTE AARP/258/2017 del 18 luglio 2017</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w:t>
      </w:r>
    </w:p>
    <w:p>
      <w:r>
        <w:t>- 7/17 - P/9546/2016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Les déclarations de la victime, entendue comme témoin, constituent un élément de preuve. Le juge doit, dans l'évaluation globale de l'ensemble des éléments probatoires rassemblés au dossier, les apprécier librement (arrêts du Tribunal fédéral</w:t>
      </w:r>
    </w:p>
    <w:p>
      <w:r>
        <w:t>- 8/17 - P/9546/2016 6B_614/2012 du 15 février 2013 consid. 3.2.5 et 6B_716/2010 du 15 novembre 2010 consid. 1.3 et 6B_360/2008 du 12 novembre 2008 consid. 4.3). Dans le cadre du principe de libre appréciation des preuves, rien ne s'oppose à ne retenir qu'une partie des déclarations d'un témoin globalement crédible (ATF 120 Ia 31 consid. 3 spéc. p. 39 ; arrêt du Tribunal fédéral 6B_637/2012 du 21 janvier 2013 consid. 5.4).</w:t>
      </w:r>
    </w:p>
    <w:p>
      <w:r>
        <w:rPr>
          <w:b/>
        </w:rPr>
        <w:t>E. 3</w:t>
      </w:r>
    </w:p>
    <w:p>
      <w:r>
        <w:t>3.1.1.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w:t>
      </w:r>
    </w:p>
    <w:p>
      <w:r>
        <w:t>Un comportement est la cause naturelle d'un résultat s'il en constitue l'une des conditions sine qua non,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 arrêt du Tribunal fédéral 6B_291/2015 du 18 janvier 2016 consid. 3.1). 3.1.2.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w:t>
      </w:r>
    </w:p>
    <w:p>
      <w:r>
        <w:t>- 9/17 - P/9546/2016 manque d'effort blâmable (ATF 135 IV 56 consid. 2.1 p. 64 ; ATF 134 IV 255 consid. 4.2.3 p. 262 ; ATF 129 IV 119 consid. 2.1 p. 121). 3.1.3.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3.1.3.1. Selon l'art. 26 al. 1 de la loi fédérale sur la circulation routière du 19 décembre 1958 (LCR ; RS 741.01),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(al. 2). Si un autre usager de la route commet manifestement une faute qui pourrait créer un risque d'accident, l'usager, quel qu'il soit, devra faire son possible pour éviter qu'un dommage ne se produise (freinage, manœuvre d'évitement ou avertissement). Cette hypothèse se vérifie lorsque des indices concrets donnent à penser qu'un autre usager ne respectera pas les règles de circulation. De tels indices peuvent résulter non seulement d'un comportement manifeste mais aussi d'une situation confuse et incertaine, qui selon l'expérience générale, cache la possibilité imminente qu'un tiers commette une faute (BUSSY / RUSCONI, Code suisse de la circulation routière commenté, Bâle 2015, ad. art. 26 n. 5.1 ; ATF 125 IV 83 consid. 2b ; ATF 118 IV 277 consid. 4a ; arrêt du Tribunal fédéral 6B_311/2010 consid 3.3). Il convient de se montrer large quant à l'appréciation des indices qui doivent éveiller l'attention de l'automobiliste et le rendre circonspect ; d'une part, les conséquences d'un accident sont presque toujours sérieuses dans cette éventualité et, d'autre part, la proportion des piétons qui ignorent les rudiments des règles de la circulation est plus grande que pour n'importe quelle autre catégorie des usagers de la route (ATF 97 IV 124 = SJ 1972 p.117 consid. 2.b). D'après la jurisprudence, le simple fait qu'un piéton commence à traverser la route en dehors d'un passage pour piétons n'est pas encore l'indice concret d'un comportement incorrect, sauf peut-être s'il s'agit d'une personne âgée, ou lorsque, dans une zone piétonne, le conducteur identifie deux piétons sous l'influence de substances qui ne prêtent pas attention à la circulation (ATF 103 IV 107 = JdT 1977 I 418 ; arrêt du Tribunal fédéral 6B_272/2011 du 9 août 2011). Seul celui qui s'est comporté réglementairement peut invoquer le principe de la confiance. Celui qui viole des règles de la circulation et crée ainsi une situation confuse ou dangereuse ne peut pas attendre des autres qu'ils parent à ce danger par une attention accrue (arrêt du Tribunal fédéral 6B_439/2009 du 18 août 2009 consid 1.4.1).</w:t>
      </w:r>
    </w:p>
    <w:p>
      <w:r>
        <w:t>- 10/17 - P/9546/2016 3.1.3.2. L'art. 27 al. 1 LCR impose aux usagers de la route de se conformer aux signes et aux marques. Ceux-ci ne sont obligatoires que s'ils sont clairs et que leur portée est aisément reconnaissable (ATF 127 IV 229 consid. 2c.aa p. 232 ; 106 IV 138 consid. 3 p. 140). 3.1.3.3. Aux termes de l'art. 33 LCR, le conducteur facilitera aux piétons la traversée de la chaussée, et il doit circuler avec une prudence particulière avant les passages pour piétons ; au besoin, il doit s'arrêter pour laisser la priorité aux piétons qui se trouvent déjà sur le passage ou qui s'y engagent. L'inobservation de ces prescriptions est une violation des règles de la circulation, punissable selon l'art. 90 LCR. La protection particulière exigée par l'art. 33 al. 2 LCR s'étend également aux abords du passage de sécurité (arrêt du Tribunal fédéral 6S_96/2006 du 3 avril 2006 consid 2.2). En principe, le conducteur a la priorité sur le piéton qui a l'intention de traverser la route en dehors d'un passage pour piétons, bien qu'il doive lui faciliter la traversée de la chaussée conformément à l'art. 33 al. 1 LCR. Ce droit de priorité ne s'applique cependant pas de manière absolue, mais seulement sous réserve de l'art. 26 al. 2 LCR (ATF 129 IV 282 consid. 2.2.1 = JdT 2003 I 564, et les références citées). 3.1.3.4. Selon l'art. 6 al. 1 OCR,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3.1.3.5. Selon l'art. 44 al. 1 LCR, sur les routes marquées de plusieurs voies pour une même direction, le conducteur ne peut passer d'une voie à une autre que s'il n'en résulte pas de danger pour les autres usagers de la route. Sur lesdites routes, les conducteurs doivent suivre la voie extérieure de droite. Cette règle ne s'applique pas lorsqu'ils dépassent, se mettent en ordre de présélection, circulent en files parallèles ou à l'intérieur des localités (art. 8 al. 1 OCR). 3.1.3.6. Selon l'art. 47 al. 2 LCR, si la circulation est arrêtée, les motocyclistes resteront à leur place dans la file des véhicules. En d'autres termes, il est interdit aux motocyclistes de dépasser une colonne de véhicules arrêtés et de se rabattre devant elle. Cette disposition, jointe à la règle générale de prudence de l'art. 26 LCR et aux prescriptions concernant le dépassement de l'art. 35 LCR, impose au motocycliste se trouvant dans une colonne de s'arrêter lorsque le véhicule qui le précède ou le véhicule qu'il est en train de dépasser s'arrête (JdT 1984 I p. 414). Il est ainsi interdit aux motocyclistes de dépasser par la gauche une colonne de voitures à l'arrêt. Celui qui effectue une manœuvre de dépassement interdite par</w:t>
      </w:r>
    </w:p>
    <w:p>
      <w:r>
        <w:t>- 11/17 - P/9546/2016 l'art. 47 al. 2 LCR enfreint également les règles générales de prudences (ATF 129 IV 155, consid. 3.2 et 3.3). 3.1.3.7. Selon la jurisprudence, le conducteur doit vouer à la route et au trafic toute l'attention possible. Le degré de cette attention doit être apprécié au regard de toutes les circonstances, telles la densité du trafic, la configuration des lieux, l'heure, la visibilité et les sources de danger prévisibles.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avec références détaillées à d'autres arrêts).</w:t>
      </w:r>
    </w:p>
    <w:p>
      <w:r>
        <w:rPr>
          <w:b/>
        </w:rPr>
        <w:t>E. 3.2</w:t>
      </w:r>
    </w:p>
    <w:p>
      <w:r>
        <w:t>Il y a concours imparfait entre les lésions corporelles par négligence et la violation de l'art. 90 LCR (C. FAVRE / M. PELLET / P. STOUDMANN, Code pénal annoté, 2011, n. 1.7. ad art. 125 CP). 3.3.1. En l'espèce, l'appelant, contrairement à ses premières déclarations, conteste avoir remonté par la gauche une file de véhicules arrêtés sur le tronçon. D______, témoin, confirmant les premières déclarations de l'appelant, a expliqué l'avoir vu remonter par la gauche la colonne de voitures arrêtées. Il a également indiqué que la file de véhicules se trouvait sur la voie du bus, ce que dira également la victime. Le croquis montre une file de véhicules roulant à cheval sur les deux voies de circulation. La question de savoir si la colonne de véhicules roulait sur la voie du bus ou empiétait sur les deux voies de circulation ne change rien à l'analyse des faits reprochés à l'appelant. En effet, que la file roule complètement sur la voie du bus ou à cheval sur les deux voies donne le même résultat : il n'y avait qu'une voie de circulation. Contrairement à ce qu'affirme l'appelant, il est douteux que les quatre véhicules présents aient roulé sans raison en violation des règles de la circulation sur une voie uniquement dédiée au trafic de ligne des transports publics, ou à cheval sur celle-ci, et qu'il ait été le seul à rouler correctement, dans le respect desdites règles. Que la file se trouve à cheval ou complètement sur la voie du bus, cette disposition inhabituelle du trafic aurait dû, au contraire, interpeller l'appelant qui aurait dû penser que les véhicules ne roulaient pas comme cela par hasard et qu'il n'y avait de fait – comme en temps normal d'ailleurs, la voie dédiée au trafic de ligne des transports publics étant interdite aux autres véhicules et ne créant par conséquent pas deux</w:t>
      </w:r>
    </w:p>
    <w:p>
      <w:r>
        <w:t>- 12/17 - P/9546/2016 voies parallèles – qu'une seule et unique voie de circulation pour les véhicules, ne permettant pas une application des art. 8 OCR cum 44 LCR. Dans ces circonstances, l'appelant devait rester dans cette voie de circulation unique, et s'arrêter tout comme les autres véhicules, ce qu'il n'a pas fait. Selon ses propres dires devant le Tribunal de police, l'appelant n'est pas resté dans la file de véhicules sur sa droite, afin de s'insérer plus avant dans la circulation, à hauteur du bâtiment de ______, puisqu'il pouvait se rabattre plus facilement, au guidon de son scooter, au moment où les voies se resserraient. Au mépris des règles de prudence, pour ne pas s'arrêter et attendre un moment, mais au contraire pour s'insérer plus avant dans la circulation, l'appelant n'est ainsi pas resté dans la file de voitures et a préféré continuer d'avancer. Il savait que les voies se rétrécissaient, ce qui expliquait les voitures arrêtées sur la voie du bus ou en partie sur cette dernière, et devait alors rester dans la colonne de voitures et s'arrêter. 3.3.2. Le jour de l'accident, l'appelant a roulé sur un tronçon interdit aux véhicules automobiles et motocycles, ce qu'il ne conteste pas, tronçon qu'il empruntait pour se rendre à son travail, violant de ce fait à chaque fois ladite interdiction. Il savait donc qu'un passage piéton précédait le resserrement de la chaussée. N'ayant pas de visibilité sur le côté droit de la route, à cause de la file de véhicules arrêtés, l'appelant devait être particulièrement attentif et prudent aux abords de ce passage piéton, d'ailleurs encombré par un véhicule. Au demeurant, puisqu'il s'agit d'une voie interdite à la circulation, il est très fréquent que les piétons traversent hors du passage piéton, et ce, sans être particulièrement attentifs, ce qui impose en tout état une attention accrue des conducteurs. L'appelant a ainsi remonté par la gauche une colonne de véhicules à l'arrêt, afin de dépasser cette dernière et s'insérer plus avant dans le trafic, n'a pas remarqué la victime passant entre deux voitures pour traverser et l'a heurtée, malgré un freinage d'urgence. 3.3.3. Au vu de ce qui précède, l'appelant devait s'arrêter et rester dans la file de véhicules, ce qu'il n'a pas fait, violant de ce fait les règles de prudence en matière de circulation routière, notamment les art. 33 al. 2 et 47 al. 2 LCR.</w:t>
      </w:r>
    </w:p>
    <w:p>
      <w:r>
        <w:rPr>
          <w:b/>
        </w:rPr>
        <w:t>E. 3.4</w:t>
      </w:r>
    </w:p>
    <w:p>
      <w:r>
        <w:t>La victime a admis avoir traversé la chaussée entre deux voitures, dont l'une s'était déplacée afin qu'elle puisse passer, et en dehors du passage piéton, encombré par un véhicule. Ne voyant et n'entendant pas le scooter, tout en ne s'attendant pas à ce qu'il y en ait un, la route étant interdite aux voitures et motocycles, elle a traversé sans circonspection la chaussée et a de ce fait violé les art 49 LCR et 47 al. 1 OCR.</w:t>
      </w:r>
    </w:p>
    <w:p>
      <w:r>
        <w:rPr>
          <w:b/>
        </w:rPr>
        <w:t>E. 3.5</w:t>
      </w:r>
    </w:p>
    <w:p>
      <w:r>
        <w:t>L'appelant ne remet pas en cause la causalité naturelle, donnée en l'espèce, le choc entre la victime et le scooter de l'appelant ainsi que les lésions corporelles qui</w:t>
      </w:r>
    </w:p>
    <w:p>
      <w:r>
        <w:t>- 13/17 - P/9546/2016 en ont résulté ayant été provoqués par le comportement fautif de l'appelant, qui a fait fi des règles de prudence en matière de circulation routière. Il ne fait aucun doute que ce comportement fautif était également propre à entraîner, selon le cours ordinaire des choses et l'expérience générale de la vie, l'accident qui est survenu ainsi que les lésions corporelles subies par la victime. Se pose alors la question de savoir si le comportement de la piétonne, traversant sans circonspection la chaussée en dehors du passage piéton, était propre à rompre le lien de causalité adéquate entre le comportement fautif de l'appelant et l'accident. La victime, en traversant la chaussée en dehors du passage piéton a commis une faute concomitante, mais cet acte n'a pas une importance telle qu'il relègue les manquements et imprudences de l'appelant au second plan. En effet, il n'est ni exceptionnel ni extraordinaire que, un matin à 07h43, dans une rue fréquentée par de multiples piétons se dirigeant vers les nombreux lieux de travail de ce quartier, l'un d'eux traverse en dehors d'un passage clouté, d'autant plus que cette artère est interdite aux véhicules et motocycles. L'appelant devait ainsi faire preuve d'une attention particulière. Le seul fait que la piétonne n'ait pas utilisé le passage réservé en traversant à 15 mètres de ce dernier n'est pas propre à interrompre le lien de causalité.</w:t>
      </w:r>
    </w:p>
    <w:p>
      <w:r>
        <w:rPr>
          <w:b/>
        </w:rPr>
        <w:t>E. 3.6</w:t>
      </w:r>
    </w:p>
    <w:p>
      <w:r>
        <w:t>Le Tribunal de police n'a pas établi les faits de manière inexacte, a appliqué correctement le droit et n'a, à juste titre, pas estimé que le lien de causalité était interrompu. Le verdict de culpabilité pour lésions corporelles par négligence sera ainsi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- 14/17 - P/9546/2016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4.2</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rPr>
          <w:b/>
        </w:rPr>
        <w:t>E. 4.3</w:t>
      </w:r>
    </w:p>
    <w:p>
      <w:r>
        <w:t>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4.4</w:t>
      </w:r>
    </w:p>
    <w:p>
      <w:r>
        <w:t>Les fautes de l'appelant ne sont pas insignifiantes, puisqu'il a agi au mépris d'une interdiction de circuler, interdiction qu'il violait au demeurant régulièrement pour aller sur son lieu de travail, et d'une règle fondamentale de la circulation routière, à savoir le devoir de prudence. Simplement pour ne pas devoir s'arrêter, comme les autres usagers, et pour s'insérer plus avant dans la circulation, il a pris le risque de porter atteinte à l'intégrité d'autrui, risque qui s'est en l'occurrence réalisé. Ces fautes ne sont pas sans importance et doivent ainsi être adéquatement sanctionnées.</w:t>
      </w:r>
    </w:p>
    <w:p>
      <w:r>
        <w:t>- 15/17 - P/9546/2016 L'appelant ne paraît pas avoir pris conscience de sa faute, puisqu'il continue de nier la majorité des infractions commises et tente vainement de rejeter l'entière responsabilité de l'accident sur la victime ; il n'a pas d'antécédent, ce qui a un effet neutre sur la peine. Toutefois, il a montré de l'empathie envers la victime, étant désolé de ce qu'il s'était passé et prenant de ses nouvelles. L'appelant, qui a conclu à son acquittement du chef de lésions corporelles par négligence, n'a critiqué ni la nature ni la quotité de la peine qui lui a été infligée, ne serait-ce qu'à titre subsidiaire. Compte tenu de la faute de l'appelant, qui n'est pas anodine, et de sa situation financière, la CPAR confirme la peine-pécuniaire de 45 jours-amende à CHF 70.- l'unité, avec sursis et un délai d'épreuve de deux ans, ce qui tient compte de toutes les circonstances du cas d'espèce et est conforme à l'art. 34 CP.</w:t>
      </w:r>
    </w:p>
    <w:p>
      <w:r>
        <w:rPr>
          <w:b/>
        </w:rPr>
        <w:t>E. 4.5</w:t>
      </w:r>
    </w:p>
    <w:p>
      <w:r>
        <w:t>Le jugement entrepris sera donc intégralement confirmé et l'appel rejeté.</w:t>
      </w:r>
    </w:p>
    <w:p>
      <w:r>
        <w:rPr>
          <w:b/>
        </w:rPr>
        <w:t>E. 5</w:t>
      </w:r>
    </w:p>
    <w:p>
      <w:r>
        <w:t>Compte tenu de l'issue de son appel, l'appelant sera débouté de ses conclusions en indemnisation (art. 429 CPP a contrario).</w:t>
      </w:r>
    </w:p>
    <w:p>
      <w:r>
        <w:rPr>
          <w:b/>
        </w:rPr>
        <w:t>E. 6</w:t>
      </w:r>
    </w:p>
    <w:p>
      <w:r>
        <w:t>Au surplus, l'appelant, qui succombe, supportera les frais de la procédure envers l'Etat, comprenant un émolument de jugement de CHF 1'500.- (art. 428 CPP et art. 14 al. 1 let. e du Règlement fixant le tarif des frais en matière pénale ; E 4 10.03). * * * * *</w:t>
      </w:r>
    </w:p>
    <w:p>
      <w:r>
        <w:t>- 16/17 - P/9546/2016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