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AARP/257/2025 vom 7. Juli 2025</w:t>
      </w:r>
    </w:p>
    <w:p>
      <w:r>
        <w:t>GE Cour de justice, 2025-07-07, FR</w:t>
      </w:r>
    </w:p>
    <w:p>
      <w:r>
        <w:rPr>
          <w:b/>
        </w:rPr>
        <w:t xml:space="preserve">Quelle: </w:t>
      </w:r>
      <w:r>
        <w:t>https://mcp.opencaselaw.ch/entscheid/ge_gerichte_AARP_257_2025</w:t>
      </w:r>
    </w:p>
    <w:p>
      <w:r>
        <w:t>FR: GE_GERICHTE AARP/257/2025 du 7 juillet 2025</w:t>
      </w:r>
    </w:p>
    <w:p>
      <w:r>
        <w:t>IT: GE_GERICHTE AARP/257/2025 del 7 luglio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les art. 6 ch. 2 de la convention de sauvegarde des droits de l'homme et des libertés fondamentales (CEDH),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w:t>
      </w:r>
    </w:p>
    <w:p>
      <w:r>
        <w:t>- 7/18 - P/3173/2023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2.1.3.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w:t>
      </w:r>
    </w:p>
    <w:p>
      <w:r>
        <w:rPr>
          <w:b/>
        </w:rPr>
        <w:t>E. 2.2</w:t>
      </w:r>
    </w:p>
    <w:p>
      <w:r>
        <w:t>Selon l'art. 126 al. 1 CP, quiconque se livre sur une personne à des voies de fait qui ne causent ni lésion corporelle ni atteinte à la santé est, sur plainte, puni d'une amende. Les voies de fait se définissent comme des atteintes physiques qui excèdent ce qui est socialement toléré et qui ne causent ni lésion corporelle, ni dommage à la santé. Une telle atteinte peut exister même si elle n'a causé aucune douleur physique (ATF 134 IV 189 consid. 1.2). Ont notamment été qualifiés de voies de fait, un coup de poing ou de pied (arrêt du Tribunal fédéral 6B_693/2017 du 24 août 2017 consid. 2.1).</w:t>
      </w:r>
    </w:p>
    <w:p>
      <w:r>
        <w:rPr>
          <w:b/>
        </w:rPr>
        <w:t>E. 2.3</w:t>
      </w:r>
    </w:p>
    <w:p>
      <w:r>
        <w:t>L'art. 180 al. 1 CP stipule que quiconque, par une menace grave, alarme ou effraie une personne est, sur plainte, puni d'une peine privative de liberté de trois ans au plus ou d'une peine pécuniaire. Sur le plan objectif, l'infraction de menaces suppose que l'auteur ait émis une menace grave (1) et que la victime ait de ce fait été effectivement alarmée ou effrayée (2 ; arrêt du Tribunal fédéral 6B_754/2023 du 11 octobre 2023 consid. 3.1). La menace est grave si elle est de nature à effrayer une personne raisonnable, placée dans une situation identique (ATF 122 IV 322 consid. 1a). Les menaces de lésions corporelles graves ou de mort doivent être considérées comme graves au sens de l'art. 180 CP (arrêts du Tribunal fédéral 6B_787/2018 du 1er octobre 2018 consid. 3.1 ; 6B_1428/2016 du 3 octobre 2017 consid. 2.1 ; AARP/392/2023 du 20 octobre 2023 consid. 3.1). Le lésé doit enfin avoir été effectivement alarmé ou effrayé, ce qui implique qu'il considère l'objet du comportement menaçant comme possible et qu'il suscite chez lui de la peur (arrêts du Tribunal fédéral 6B_754/2023 du 11 octobre 2023 consid. 3.1 ; 6B_1254/2022 du 16 juin 2023 consid. 7.1 ; 6B_617/2022 du 14 décembre 2022 consid. 2.2.1).</w:t>
      </w:r>
    </w:p>
    <w:p>
      <w:r>
        <w:t>- 8/18 - P/3173/2023 Subjectivement, l'intention de l'auteur doit porter tant sur son comportement menaçant que sur l'effroi suscité de ce fait chez le lésé ; le dol éventuel suffit (arrêts du Tribunal fédéral 6B_754/2023 du 11 octobre 2023 consid. 3.1 ; 6B_1254/2022 du 16 juin 2023 consid. 7.1 ; 6B_508/2021 du 14 janvier 2022 consid. 2.1). 2.4.1. L'appelant persiste à nier les voies de fait et les menaces au préjudice de C______. Le plaignant a livré un récit constant et détaillé tout au long de la procédure. Il n'a pas non plus tenté d'accabler le prévenu, en particulier sur la violence de ses coups ou son comportement après les faits. Sa version est très cohérente. Il parait en effet davantage vraisemblable que la décision des tiers présents sur les lieux d'intervenir pour retenir physiquement l'appelant, comme il l'admet, résultait du fait qu'il s'était également montré violent dans ses gestes et non seulement dans ses paroles. Le choc émotionnel que l'intimé décrit avoir vécu ressort en outre des certificats d'arrêt de travail établis par son psychiatre. Il n'avait enfin aucune raison d'accuser faussement le prévenu. Si le prévenu s'est montré ferme et constant dans ses dénégations, il a néanmoins passablement varié au sujet des injures adressées à l'intimé, qu'il a fini par reconnaitre, mais aussi s'agissant du contexte de leur échange et de son contenu. Par ailleurs, il n'a évoqué avoir sorti son téléphone portable de son sac que dans un second temps. En conclusion, il est retenu que les faits se sont déroulés comme décrits par le plaignant, qui a fourni des déclarations plus cohérentes et détaillées que celles, fluctuantes, de l'appelant. 2.4.2. Par conséquent, l'appelant, après avoir injurié l'intimé de "Mother fucker", lui a asséné deux coups de poing, le premier l'ayant atteint au front et le second lui ayant effleuré le nez. Il a ensuite menacé, à tout le moins l'intégrité corporelle de sa victime, à l'aide d'un couteau comportant une lame d'une quinzaine de centimètres. Ce geste a eu comme effet d'effrayer le plaignant, qui a expliqué qu'il ne s'était plus senti en sécurité dans son quartier, où il avait continué d'apercevoir son assaillant, et n'avait été en mesure de reprendre son activité professionnelle qu'à la fin du mois d'octobre 2023. Au vu de ce qui précède, il sera retenu que le prévenu s'est rendu coupable de voies de fait (art. 126 al. 1 CP) et de menaces (art. 180 al. 1 CP). Partant, l'appel sera rejeté et le jugement entrepris confirmé.</w:t>
      </w:r>
    </w:p>
    <w:p>
      <w:r>
        <w:rPr>
          <w:b/>
        </w:rPr>
        <w:t>E. 3.1</w:t>
      </w:r>
    </w:p>
    <w:p>
      <w:r>
        <w:t>L'infraction à l'art. 19 al. 1 LStup et celle à l'art. 119 al. 1 LEI sont passibles d'une peine privative de liberté de trois ans au plus ou d'une peine pécuniaire, alors que celle à l'art. 115 al. 1 LEI l'est d'une peine privative de liberté d'un an au plus ou d'une peine pécuniaire. Les infractions d'injure et d'empêchement d'accomplir un acte officiel sont punies par une peine pécuniaire de 90 jours-amende au plus, respectivement de 30 jours-amende au plus.</w:t>
      </w:r>
    </w:p>
    <w:p>
      <w:r>
        <w:t>- 9/18 - P/3173/2023 3.2.1.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3.2.2.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En matière d'infractions fondées sur l'art. 19 LStup, la quantité nette de drogue en cause (1) et le rôle joué par l'auteur (2) sont deux critères importants, mais non exclusifs, pour déterminer la quotité de la peine ; le critère de la quantité de drogue a d'autant plus de poids que celle-ci est importante et le critère du rôle de l'auteur pèse d'autant plus lourd que plusieurs comportements couverts par l'art. 19 LStup sont réalisés (ATF 121 IV 202 consid. 2d/cc ; arrêts du Tribunal fédéral 6B_843/2014 du</w:t>
      </w:r>
    </w:p>
    <w:p>
      <w:r>
        <w:rPr>
          <w:b/>
        </w:rPr>
        <w:t>E. 7</w:t>
      </w:r>
    </w:p>
    <w:p>
      <w:r>
        <w:t>7.1.1. La question de l'indemnisation doit être tranchée après celle des frais. Dans cette mesure, la question sur les frais préjuge de celle de l'indemnisation (arrêt du Tribunal fédéral 6B_262/2015 du 29 janvier 2016 consid. 1.2). 7.1.2. L'art. 433 al. 1 let. a CPP, applicable à la procédure d'appel par l'art. 436 al. 1 CPP, permet à la partie plaignante de demander au prévenu une juste indemnité pour les dépenses obligatoires occasionnées par la procédure lorsqu'elle obtient gain de cause.</w:t>
      </w:r>
    </w:p>
    <w:p>
      <w:r>
        <w:rPr>
          <w:b/>
        </w:rPr>
        <w:t>E. 7.2</w:t>
      </w:r>
    </w:p>
    <w:p>
      <w:r>
        <w:t>En appel, le plaignant, qui obtient intégralement gain de cause, peut demander une indemnité au prévenu. L'appelant sera partant condamné lui à payer les honoraires facturés par son conseil, dont il n'a discuté aucun poste. Ainsi, l'indemnité due à l'intimé sera arrêtée à CHF 594.60, correspondant à 5 heures au tarif horaire de CHF 110.- (CHF 550.-) et la TVA à 8.1% en CHF 44.60.</w:t>
      </w:r>
    </w:p>
    <w:p>
      <w:r>
        <w:t>- 15/18 - P/3173/2023</w:t>
      </w:r>
    </w:p>
    <w:p>
      <w:r>
        <w:rPr>
          <w:b/>
        </w:rPr>
        <w:t>E. 8</w:t>
      </w:r>
    </w:p>
    <w:p>
      <w:r>
        <w:t>Considéré globalement, l'état de frais produit par Me B______, défenseur d'office de A______, satisfait les exigences légales et jurisprudentielles régissant l'assistance judiciaire gratuite en matière pénale.</w:t>
      </w:r>
    </w:p>
    <w:p>
      <w:r>
        <w:t>Sa rémunération sera partant arrêtée à CHF 2'693.30, correspondant à 10h30 d'activité au tarif horaire de CHF 200.- (CHF 2'100.-) et 1h30 à celui de CHF 110.- (CHF 165.-), plus la majoration forfaitaire de 10% (CHF 226.50), compte tenu de l'activité développée en première instance, et l'équivalent de la TVA au taux de 8.1% en CHF 201.80.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