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AARP/255/2024 vom 25. Juli 2024</w:t>
      </w:r>
    </w:p>
    <w:p>
      <w:r>
        <w:t>GE Cour de justice, 2024-07-25, FR</w:t>
      </w:r>
    </w:p>
    <w:p>
      <w:r>
        <w:rPr>
          <w:b/>
        </w:rPr>
        <w:t xml:space="preserve">Quelle: </w:t>
      </w:r>
      <w:r>
        <w:t>https://mcp.opencaselaw.ch/entscheid/ge_gerichte_AARP_255_2024</w:t>
      </w:r>
    </w:p>
    <w:p>
      <w:r>
        <w:t>FR: GE_GERICHTE AARP/255/2024 du 25 juillet 2024</w:t>
      </w:r>
    </w:p>
    <w:p>
      <w:r>
        <w:t>IT: GE_GERICHTE AARP/255/2024 del 25 luglio 2024</w:t>
      </w:r>
    </w:p>
    <w:p>
      <w:pPr>
        <w:pStyle w:val="Heading2"/>
      </w:pPr>
      <w:r>
        <w:t>Erwägungen</w:t>
      </w:r>
    </w:p>
    <w:p>
      <w:r>
        <w:rPr>
          <w:b/>
        </w:rPr>
        <w:t>E. 14</w:t>
      </w:r>
    </w:p>
    <w:p>
      <w:r>
        <w:t>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2.1.2. À teneur de l'art. 19 al. 1 let. d LStup, est puni d’une peine privative de liberté de trois ans au plus ou d’une peine pécuniaire celui qui, sans droit, possède, détient ou acquiert des stupéfiants ou s’en procure de toute autre manière.</w:t>
      </w:r>
    </w:p>
    <w:p>
      <w:r>
        <w:t>- 5/11 - P/7676/2023 Quiconque, sans droit, consomme intentionnellement des stupéfiants ou commet une infraction à l’art. 19 pour assurer sa propre consommation est passible d’une amende (art. 19a ch. 1 LStup). 2.1.3. L'art. 5 al. 1 LEI dispose que, pour entrer en Suisse, tout étranger doit notamment disposer des moyens financiers nécessaires à son séjour (let. b) et ne représenter aucune menace pour la sécurité et l’ordre publics ni pour les relations internationales de la Suisse (let. c). Les ressortissants de pays tiers doivent disposer de moyens de subsistance suffisants tant pour la durée du séjour envisagé que pour le retour dans le pays d’origine ou être en mesure d’acquérir légalement ces moyens ; ceux-ci sont notamment réputés suffisants s’il est garanti que l’étranger ne fera pas appel à l’aide sociale pendant son séjour dans l’espace Schengen (art. 3 al. 1 et 2 de l'ordonnance sur l'entrée et l'octroi de visas [OEV] et art. 6 par. 1 let. c du règlement (UE) 2016/399 du Parlement européen et du Conseil du 9 mars 2016 [Code frontières Schengen]). 2.2.1. En l'occurrence, alors qu'il semblait acquis, à l'issue de la procédure préliminaire, que l'appelant avait acheté la cocaïne incriminée à D______, il semble finalement, à le suivre aux débats de première instance, qu'il l'aurait achetée à Genève. Cet élément interpelle. Le prévenu perd en cohérence et, partant, en crédibilité. Si les 14 boulettes étaient destinées à sa consommation personnelle – on n'exclut pas que le prévenu ait été opéré en Allemagne en décembre 2022 et qu'il ait pu prendre de la drogue pour soulager la douleur –, on comprendrait mal que, tout juste après les avoir achetées – à supposer qu'il les ait acquises à D______ –, il puisse se rendre en Suisse muni de celles-ci pour se faire remettre CHF 100.- en prêt par un ami. Exporter/importer cette drogue représentait un risque conséquent, accru, en cas de contrôle douanier. Il aurait été logique de la déposer chez lui avant d'entrer en Suisse. La prise d'un tel risque rend la version de l'appelant peu plausible. Compte tenu de la quantité de drogue saisie (14.2 grammes brut) et de son taux de pureté élevé (59.1 %), celle-ci a une valeur marchande assurément plus importante que le prix d'achat articulé par l'appelant (EUR 260.- ou CHF 500.-), au sujet duquel il a d'ailleurs évolué. Que le prévenu se soit mépris sur la quantité achetée, pensant acquérir des boulettes de 0.5 gramme la pièce pour un total de sept à huit grammes, alors qu'elles pèsent en réalité un gramme la pièce, apparaît en outre invraisemblable. Il faut y voir une (vaine) tentative de minimiser les faits. L'expérience montre que la drogue ingérée est souvent l'œuvre de mules, qui optent pour un tel procédé en cas de franchissement de frontière, non celle d'un consommateur pour camoufler l'objet de ses consommations.</w:t>
      </w:r>
    </w:p>
    <w:p>
      <w:r>
        <w:t>- 6/11 - P/7676/2023 Les éléments qui précèdent constituent un faisceau d'indices concordants tendant à démontrer que la drogue saisie était en réalité destinée à la vente. En détenant cette drogue, le prévenu a commis un délit à la LStup. Il n'est pas déterminant qu'aucun message concernant un trafic n'ait été trouvé dans son téléphone (cf. arrêt du Tribunal fédéral 6B_1130/2020 du 14 avril 2021 consid. 1.4). A______ sera par conséquent reconnu coupable d'infraction à l'art. 19 al. 1 let. d LStup. Le jugement entrepris sera confirmé sur ce point. 2.2.2. En entrant en Suisse le 9 avril 2023 pour un "aller-retour", le prévenu n'avait pas besoin de moyens de subsistance. Il pouvait assurer son retour à D______ par ses propres moyens, ne serait-ce qu'en y retournant à pied. Cela vaut également pour les deux à quatre autres entrées concédées par le prévenu, lequel exerçait en outre une activité de magasinier rémunérée si l'on en croit ses dires. Par ailleurs, rien au dossier ne suggère que l'appelant aurait été amené à vendre les stupéfiants saisis, encore moins qu'il serait entré en Suisse, les fois précédentes, en possession de drogue, a fortiori pour la vendre – la Cour est liée par l'état de fait décrit dans l'acte d'accusation (art. 9 et 350 al. 1 CPP). Il ne peut être retenu, dans ces conditions, que l'appelant aurait représenté, de ce fait, une menace pour la sécurité et l'ordre publics suisses. A______ sera acquitté d'infraction à l'art. 115 al. 1 let. a LEI. Le jugement entrepris sera réformé sur ce point. 3. 3.1.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w:t>
      </w:r>
    </w:p>
    <w:p>
      <w:r>
        <w:rPr>
          <w:b/>
        </w:rPr>
        <w:t>E. 18</w:t>
      </w:r>
    </w:p>
    <w:p>
      <w:r>
        <w:t>grammes (ATF 138 IV 100 consid. 3.2), à partir de laquelle le cas doit être considéré comme grave au sens de l'art. 19 al. 2 let. a LStup (ATF 121 IV 193 consid. 2b/aa). Le type de drogue et sa pureté doivent aussi être pris en considération (ATF 122 IV 299 consid. 2c). Le type et la nature du trafic en cause sont aussi déterminants. L'appréciation est différente selon que l'auteur a agi de manière</w:t>
      </w:r>
    </w:p>
    <w:p>
      <w:r>
        <w:t>- 7/11 - P/7676/2023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6B_757/2022 du 26 octobre 2022 consid. 2.2).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144 IV 313 consid. 1.1.1 ; arrêt du Tribunal fédéral 6B_1240/2022 du 8 juin 2023 consid. 1.1). 3.2. La faute du prévenu ne saurait être minimisée. Il a détenu une drogue dite dure, en quantité non négligeable, d'un taux de pureté relativement élevé, destinée à autrui et donc propre à nuire à la santé de tiers. On ignore le type et la nature du trafic. Il s'agit d'un acte isolé semble-t-il. Le mobile du prévenu est méconnu, puisqu'il le tait. Peut-être ses motivations trouvent-elles leur ancrage dans la dette née en Allemagne des suites de son opération, dès lors qu'il en a fait état plusieurs fois. Si tel était le cas, cela n'excuserait pas ses agissements. Il n'était pas dépourvu, si l'on en juge par ses déclarations. Sa collaboration a été mauvaise car il a fourni des explications fantaisistes. Sa prise de conscience, partant, fait défaut. Aucun regret n'est exprimé, aucune excuse n'est présentée. Marié et père d'une fillette, il aurait dû s'abstenir de verser dans la criminalité. Il n'a pas d'antécédent judiciaire. Les motifs qui précèdent incitent la Cour à opter pour le prononcé d'une peine privative de liberté plutôt que pour celui d'une peine pécuniaire, pour des motifs de</w:t>
      </w:r>
    </w:p>
    <w:p>
      <w:r>
        <w:t>- 8/11 - P/7676/2023 prévention spéciale. Ce genre de peine apparaît mieux à même de prévenir la récidive, dans le cas du prévenu. Celui-ci n'a pas hésité à faire le voyage depuis l'Allemagne pour venir s'installer en France voisine et s'adonner, presque aussitôt, au trafic, en détenant, par ingestion, la drogue incriminée – sombrant ainsi dans la délinquance avec une facilité déconcertante. Il se refuse à faire amende honorable. En outre, sa situation personnelle voire financière, précaire (absence de statut en Allemagne) n'est pas de nature à rendre vraisemblable qu'il puisse s'acquitter d'une sanction pécuniaire. Quoi qu'il en soit, il suffit déjà de constater que le prononcé d'une peine privative de liberté est conforme à l'art. 41 al. 1 let. a CP ici.</w:t>
      </w:r>
    </w:p>
    <w:p>
      <w:r>
        <w:t>Dans ces conditions, la peine privative de liberté de 60 jours, fixée avec clémence en première instance, sera confirmée. À l'aune du dispositif du jugement du TP, de telles unités pénales ne constituent pas une reformatio in pejus (art. 391 al. 2 CPP) quand bien même elles découlaient, pour le premier juge, d'un concours d'infractions (art. 49 al. 1 CP) finalement écarté. N'est pas considérée comme une modification au détriment du condamné l'acquittement sur un chef d'accusation en appel sans réduction correspondante de la peine prononcée en première instance (Y. JEANNERET / A. KUHN / C. PERRIER DEPEURSINGE (éds), Commentaire romand : Code de procédure pénale suisse, 2ème éd., Bâle 2019, n. 7 et 9 ad art. 391). Le sursis est acquis au prévenu. 4. L'appelant obtient partiellement gain de cause. Les frais de la procédure d'appel seront mis à sa charge à raison de 2/3. Le solde sera laissé à la charge de l'Etat (art. 428 al. 1 CPP). Les frais de la procédure préliminaire et de première instance seront mis à sa charge à raison de 2/3 également (art. 426 al. 1 et 428 al. 3 CPP). Acquitté en partie, l'appelant peut prétendre, dans la même mesure (1/3), à une indemnité pour les dépenses occasionnées par l'exercice raisonnable de ses droits de procédure, tant pour la première que pour la deuxième instance (art. 429 al. 1 let. a et 436 al. 1 CPP). Les notes d'honoraires du Conseil de l'appelant respectant globalement les principes prévalant en matière d'indemnisation du prévenu lui seront accordées :  Une indemnité de CHF 648.50 (33.33% de CHF 1'945.80), TVA incluse, pour la procédure préliminaire et de première instance ;  Une indemnité de CHF 324.30 (33.33% de CHF 972.90), TVA incluse, pour la procédure d'appel. * * * * *</w:t>
      </w:r>
    </w:p>
    <w:p>
      <w:r>
        <w:t>- 9/11 - P/7676/2023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