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AARP/255/2020 vom 15. Juli 2020</w:t>
      </w:r>
    </w:p>
    <w:p>
      <w:r>
        <w:t>GE Cour de justice, 2020-07-15, FR</w:t>
      </w:r>
    </w:p>
    <w:p>
      <w:r>
        <w:rPr>
          <w:b/>
        </w:rPr>
        <w:t xml:space="preserve">Quelle: </w:t>
      </w:r>
      <w:r>
        <w:t>https://mcp.opencaselaw.ch/entscheid/ge_gerichte_AARP_255_2020</w:t>
      </w:r>
    </w:p>
    <w:p>
      <w:r>
        <w:t>FR: GE_GERICHTE AARP/255/2020 du 15 juillet 2020</w:t>
      </w:r>
    </w:p>
    <w:p>
      <w:r>
        <w:t>IT: GE_GERICHTE AARP/255/2020 del 15 luglio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Le verdict de culpabilité des chefs d'infractions à la LStup et à la LEI n'est pas attaqué ; il est au demeurant conforme aux réquisits de la loi et il n'y a pas lieu d'y revenir, celui-ci étant acquis.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concernée, par le caractère répréhensible de l'acte, par les motivations et les buts de l'auteur et par la mesure dans laquelle celui-ci aurait pu éviter la mise en danger ou la lésion, compte tenu de sa situation personnelle et des circonstances extérieures (al. 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 peines du même genre (méthode concrète) ; le fait que les dispositions pénales applicables prévoient, de manière abstraite, des peines d'un même genre ne suffit pas (ATF 138 IV 120 consid. 5.2 p. 122 ss).</w:t>
      </w:r>
    </w:p>
    <w:p>
      <w:r>
        <w:t>- 5/12 - P/6947/2019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Le juge a l'obligation d'aggraver la peine en cas de concours d'infractions. 3.1.3. Bien que la récidive ne constitue plus un motif d'aggravation obligatoire de la peine (art. 67a 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3.1.4. Depuis le 1er janvier 2018, le juge ne peut prononcer une peine privative de liberté que s'il y a lieu d'admettre qu'une peine pécuniaire ne paraît pas suffisante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(par analogie avec l'ancien droit s'agissant du choix de la peine : ATF 134 IV 60) (M. DUPUIS / L. MOREILLON / C. PIGUET / S. BERGER / M. MAZOU / V. RODIGARI, Petit commentaire du Code pénal, 2ème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w:t>
      </w:r>
    </w:p>
    <w:p>
      <w:r>
        <w:t>- 6/12 - P/6947/2019 d'une mesure d'éloignement prononcée par une autorité administrative (M. DUPUIS / L. MOREILLON / C. PIGUET / S. BERGER / M. MAZOU / V. RODIGARI, op. cit., n. 3, ad art. 41[1.1.2018]). 3.1.5. Au sens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3.2</w:t>
      </w:r>
    </w:p>
    <w:p>
      <w:r>
        <w:t>En l'espèce, la faute de l'appelant n'est pas négligeable dans la mesure où il a agi par mépris de la législation en vigueur en matière de stupéfiants et de droit des étrangers. Certes la quantité de drogue vendue était minime mais il n'est pas soutenable de postuler l'absence d'importance des biens juridiques protégés derrière la santé de consommateurs potentiels. Quant à la violation des règles sur le séjour des étrangers, si celle-ci ne relève pas de la grande délinquance, elle constitue néanmoins une activité de type délictuelle, caractérisée en l'occurrence par le fait que l'appelant n'en a eu cure au vu des transgressions commises par le passé (cf. art. 115 al. 1 let. b et art. 119 al. 1 LEI) et actuelle. Il a agi par pur appât du gain rapide, s'agissant de la vente des stupéfiants, soit un mobile égoïste. Il a aussi agi par pure convenance personnelle s'agissant du séjour illégal. Même si la précarité de sa situation pourrait expliquer, en partie, ses agissements, elle ne saurait les justifier, étant relevé que son absence totale de liens avec la Suisse rend encore moins acceptable son insistance à rester en toute illégalité dans ce pays. Si l'appelant a en définitive reconnu tous les faits reprochés, il lui aurait été difficile de les contester compte tenu des circonstances de son interpellation du 28 mars 2019, alors qu'il venait de vendre une boulette de cocaïne à un policier en civil. Sa collaboration doit dans ces conditions être qualifiée de neutre. Sa situation financière est plus qu'incertaine, dans la mesure où il n'a ni emploi ni revenu, ce qui permet de douter fortement qu'il puisse sur le principe être à même de s'acquitter d'une peine pécuniaire. A cela s'ajoute que l'appelant ne bénéficie d'aucun droit de résider en Suisse et n'expose pas en avoir davantage en France. Hormis que l'intéressé ne démontre pas avoir été en mesure de régler la peine pécuniaire infligée le 25 juin 2019 – dont le genre s'imposait pour de motifs légaux –, il apparaît en définitive que l'exécution d'une telle peine serait vaine.</w:t>
      </w:r>
    </w:p>
    <w:p>
      <w:r>
        <w:t>- 7/12 - P/6947/2019 Sa prise de conscience a jusque-là, et au mieux, été plus que limitée, sinon n'est que de façade, dès lors qu'il persiste dans ses comportements illégaux en dépit des condamnations prononcées antérieurement pour des infractions similaires. Il n'a, nonobstant deux condamnations pour délit à la LStup, pas hésité à déclarer n'avoir jamais préalablement été condamné en raison de telles infractions. Ses précédentes condamnations, au nombre de quatre depuis 2018 pour violation de la LEI et de la LStup, témoignent du fait qu'il n'a pas pris la mesure de la gravité de ses agissements, alors qu'elles ne l'ont pas dissuadé de récidiver. Le pronostic le concernant est ainsi clairement défavorable. Dans ces circonstances, les conditions du sursis ne sont pas réalisées, ce que l'appelant ne soutient au demeurant pas, et seule une peine privative de liberté est à même d'atteindre le but de prévention spéciale pour les deux infractions en cause. Il y a par ailleurs concours entre l'infraction à l'art. 19 al. 1 let. d LStup, passible d'une peine privative de liberté de trois ans au plus ou d'une peine pécuniaire, et celle à l'art. 115 LEI, passible d'une peine privative de liberté d'un an au plus ou d'une peine pécuniaire. S'agissant de sa quotité, la CPAR juge appropriée une peine privative de liberté de 40 jours en relation avec l'art. 19 al. 1 let. d LStup. A cette peine s'ajouteront 30 jours de peine privative de liberté afin de tenir compte du concours avec l'art. 115 al. 1 let. b LEI. La peine sera ainsi arrêtée à 70 jours. Elle n'est au demeurant pas partiellement complémentaire, compte tenu des périodes pénales en cause, et le jugement attaqué sera réformé en ce sens.</w:t>
      </w:r>
    </w:p>
    <w:p>
      <w:r>
        <w:rPr>
          <w:b/>
        </w:rPr>
        <w:t>E. 4</w:t>
      </w:r>
    </w:p>
    <w:p>
      <w:r>
        <w:t>4.1.1.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w:t>
      </w:r>
    </w:p>
    <w:p>
      <w:r>
        <w:t>- 8/12 - P/6947/2019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4.1.2. Si la peine révoquée et la nouvelle peine sont du même genre, le juge fixe une peine d'ensemble en appliquant par analogie l'art. 49 CP (art. 46 alinéa 2, deuxième phrase CP). Inversement et contrairement à la concurrence rétrospective de l'art. 49 al. 2 CP, le législateur a créé à l'art. 46 alinéa 1, deuxième phrase CP une base légale permettant de revenir ultérieurement sur le jugement entré en force. Ainsi doit-il être possible d'adapter ultérieurement la peine à révoquer dans le cadre de l'aggravation (ATF 145 IV 146 consid. 2.4.1 = JdT 2019 IV 237). Lors de la fixation de la peine d'ensemble, le juge doit partir méthodiquement de la peine infligée pour l'infraction nouvellement commise pendant le délai d'épreuve selon les principes de fixation de la peine des art. 47 ss CP en tant que peine de départ. Il doit ensuite l'augmenter de manière appropriée en raison de la peine révoquée. La peine d'ensemble en résulte. Si la peine de départ pour les infractions commises durant le délai d'épreuve et la peine antérieure constituent elles-mêmes des peines d'ensemble, le juge peut tenir compte de façon modérée de l'aggravation déjà survenue dans le cadre de la fixation des peines d'ensemble respectives (ATF 145 IV 146 consid. 2.4.2 = JdT 2019 IV 237).</w:t>
      </w:r>
    </w:p>
    <w:p>
      <w:r>
        <w:rPr>
          <w:b/>
        </w:rPr>
        <w:t>E. 4.2</w:t>
      </w:r>
    </w:p>
    <w:p>
      <w:r>
        <w:t>Rien ne s'y opposant, et au contraire même, les circonstances justifient la révocation des sursis octroyés les 31 janvier et 6 février 2018 par le MP. L'appelant n'a en effet pas tenu compte de la chance qui lui était alors offerte, par deux fois et à brève échéance, de s'amender, les sursis ayant été prolongés et des avertissements donnés. La détention qu'il a dû subir en lien avec sa condamnation du 7 mars 2018 ne l'a pas non plus amené à s'amender. Aucun signe n'annonce un changement d'état d'esprit chez lui, hormis de vagues promesses en rapport avec son départ de Suisse, alors que ses projets d'avenir restent flous et incertains. En deux mots, le risque de récidive est élevé. Compte tenu de l'enchaînement des condamnations pénales et de leur gradation, le prononcé d'une peine privative de liberté, sans révocation des</w:t>
      </w:r>
    </w:p>
    <w:p>
      <w:r>
        <w:t>- 9/12 - P/6947/2019 précédents sursis, à elle seule, ne suffirait certainement pas à détourner l'appelant de la commission de nouvelles infractions. Compte tenu des révocations ordonnées (60 jours et 90 jours), il y a lieu d'aggraver la peine de départ en appliquant par analogie l'art. 49 CP. Autrement dit, il convient d'augmenter la peine privative de liberté de départ de 70 jours de manière appropriée en raison des peines révoquées. Eu égard à ces critères, la peine privative de liberté de 160 jours prononcée par le premier juge paraît adéquate et même clémente.</w:t>
      </w:r>
    </w:p>
    <w:p>
      <w:r>
        <w:rPr>
          <w:b/>
        </w:rPr>
        <w:t>E. 5</w:t>
      </w:r>
    </w:p>
    <w:p>
      <w:r>
        <w:t>L'appelant, qui succombe – la seule modification apportée au jugement de première instance étant en l'espèce de peu d'importance –, supportera les frais de la procédure envers l'Etat comprenant un émolument de CHF 1'200.- (art. 426 et 428 al. 1 et al. 2 let. b CPP). Dans cette mesure, la culpabilité de l'appelant n'ayant pas connu de modification, il n'y a pas lieu de revoir les frais de première instance (art. 426 et 428 al. 3 CPP).</w:t>
      </w:r>
    </w:p>
    <w:p>
      <w:r>
        <w:rPr>
          <w:b/>
        </w:rPr>
        <w:t>E. 6</w:t>
      </w:r>
    </w:p>
    <w:p>
      <w:r>
        <w:t>En l'espèce, l'état de frais produit par le conseil de l'appelant paraît adéquat et conforme aux dispositions et principes applicables qui régissent l'assistance judiciaire, de sorte qu'il sera admis sans en reprendre le détail.</w:t>
      </w:r>
    </w:p>
    <w:p>
      <w:r>
        <w:t>L'indemnité sera donc arrêtée à CHF 885.30, correspondant à 1h30 d'activité au tarif de CHF 200.-/heure (cheffe d'étude) et à 3h30 d'activité au tarif de CHF 110.-/heure (avocat-stagiaire) plus la majoration forfaitaire de 20% et l'équivalent de la TVA au taux de 7.7% en CHF 63.30. * * * * *</w:t>
      </w:r>
    </w:p>
    <w:p>
      <w:r>
        <w:t>- 10/12 - P/6947/2019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