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AARP/254/2024 vom 24. Juli 2024</w:t>
      </w:r>
    </w:p>
    <w:p>
      <w:r>
        <w:t>GE Cour de justice, 2024-07-24, FR</w:t>
      </w:r>
    </w:p>
    <w:p>
      <w:r>
        <w:rPr>
          <w:b/>
        </w:rPr>
        <w:t xml:space="preserve">Quelle: </w:t>
      </w:r>
      <w:r>
        <w:t>https://mcp.opencaselaw.ch/entscheid/ge_gerichte_AARP_254_2024</w:t>
      </w:r>
    </w:p>
    <w:p>
      <w:r>
        <w:t>FR: GE_GERICHTE AARP/254/2024 du 24 juillet 2024</w:t>
      </w:r>
    </w:p>
    <w:p>
      <w:r>
        <w:t>IT: GE_GERICHTE AARP/254/2024 del 24 luglio 2024</w:t>
      </w:r>
    </w:p>
    <w:p>
      <w:pPr>
        <w:pStyle w:val="Heading2"/>
      </w:pPr>
      <w:r>
        <w:t>Erwägungen</w:t>
      </w:r>
    </w:p>
    <w:p>
      <w:r>
        <w:rPr>
          <w:b/>
        </w:rPr>
        <w:t>E. 12</w:t>
      </w:r>
    </w:p>
    <w:p>
      <w:r>
        <w:t>février 2015 consid. 8.2). 3.1.2. Selon l'art. 29 du code pénal suisse [CP], un devoir particulier dont la violation fonde ou aggrave la punissabilité et qui incombe uniquement à la personne morale, à la société ou à l'entreprise en raison individuelle est imputé à une personne physique lorsque celle-ci agit : a. en qualité d'organe d'une personne morale ou de membre d'un tel organe ; b. en qualité d’associé ; c. en qualité de collaborateur d’une personne morale, d’une société ou d’une entreprise en raison individuelle disposant d’un pouvoir de décision indépendant dans le secteur d’activité dont il est chargé ; d. en qualité de dirigeant effectif qui n’est ni un organe ou un membre d’un organe, ni un associé ou un collaborateur. La responsabilité pénale résultant de l'inobservation des devoirs imposés par la LEI à l'employeur peut donc, lorsque celui-ci est une personne morale, incomber aux organes de celle-ci (ATF 100 IV 38 consid. 2c).</w:t>
      </w:r>
    </w:p>
    <w:p>
      <w:r>
        <w:t>- 8/12 - P/18997/2021 3.1.3.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(ATF 135 IV 152 consid. 2.3.1). 3.2. En l'occurrence, F______ Sàrl a employé E______ (art. 319 ss CO) qui n'était pas autorisé à exercer une activité lucrative en Suisse, faute d'être titulaire d'une autorisation. S'agissant d'une personne morale, elle n'est cependant pas pénalement punissable. La procédure montre que la gestion courante de la société incombait à D______, qui, de fait, la dirigeait, le rôle de l'appelant ayant consisté à la créer et à remplir les formalités initiales (cf. e-mail du 12 août 2019) en vue de sa passation, ses prérogatives se cantonnant aux tâches comptables et fiscales. Ainsi, c'était D______ qui, seul, était en contact avec la clientèle, établissait les devis, passait les contrats, facturait, recrutait le personnel, versait les salaires, disposait de la trésorerie et gérait l'agenda. C'était donc lui qui décidait, en particulier, de qui pouvait participer à l'exécution des tâches et travaux s'inscrivant dans le but social, qui conditionnait l'activité des ouvriers et qui, une fois ceux-ci sur les chantiers, les occupait sous sa surveillance et sa propre responsabilité – I______ reconnaissant en lui son employeur. Si D______ s'est dit persuadé, dans un premier temps, que l'appelant avait fait le nécessaire auprès de l'OCPM concernant E______, puisqu'il le lui avait demandé, laissant entendre par là que l'appelant est intervenu dans le processus d'embauche, il a modéré son propos dans un deuxième temps, n'étant plus sûr de lui avoir remis les documents d'identité de l'intéressé à cette fin – ni même de lui avoir soumis son contrat pour signature –, avant de concéder finalement que l'inscription au contrôle de l'habitant relevait de sa propre compétence. Il a donc évolué dans ses déclarations. Certes, son aveu ressort d'une simple attestation, mais on ne peut l'exclure ; ce d'autant moins que le TP a refusé d'entendre D______ aux débats, comme témoin, à ce sujet. Ainsi, D______ n'a vraisemblablement sollicité l'intervention de l'appelant, en ce qui concerne E______, que postérieurement au contrôle du 2 août 2021 – comme l'appelant l'a toujours soutenu. Du moins ne peut-on pas l'exclure (art. 10 al. 3 CPP).</w:t>
      </w:r>
    </w:p>
    <w:p>
      <w:r>
        <w:t>- 9/12 - P/18997/2021 Ces considérations tendent à démontrer que c'est D______, dirigeant effectif, qui employait E______ et que c'est lui qui se devait de remplir le devoir de diligence visé à l'art. 91 al. 1 LEI et d'accomplir la démarche visée à l'art. 11 al. 3 LEI (examen du titre de séjour et prise de renseignements / demande d'autorisation auprès de l'autorité compétente). Un élément interpelle toutefois. L'appelant a, sinon rempli, signé le formulaire M concernant le frère de E______ le 15 mars 2020, ce qui tempère le considérant précédent puisqu'il s'agit là d'une prérogative de l'employeur. Quoi qu'il en soit, la question de savoir si l'appelant a employé E______ au sens de l'art. 117 al. 1 LEI peut rester ouverte pour les motifs suivants. L'élément subjectif n'est pas réalisé. L'appelant n'était semble-t-il pas au courant, le 2 août 2021, de ce que E______ avait été engagé et, a fortiori, travaillait sur le chantier incriminé. Il apparaitrait même qu'il ne le connaissait pas. Ce qui est sans doute étayé par le fait que cet ouvrier ne travaillait que depuis peu pour le compte de F______ Sàrl (avril 2021 – et non début 2021 comme le retient l'acte d'accusation). Certes, il est douteux que l'appelant n'ait pas su que F______ Sàrl employait des travailleurs en sus du couple D______, lui dont les bureaux se trouvaient à la même adresse que ceux de l'entreprise et qui aurait donc pu être amené à les croiser, à tout le moins les apercevoir, ainsi que leur camionnette de chantier. Mais cela n'exclurait pas qu'il n'ait rien su ou vu de E______ en particulier, seul visé par l'acte d'accusation. Et même si l'on devait retenir, à son détriment, la violation d'un devoir de diligence (art. 91 LEI), cette omission ne supposerait pas encore l'intention (cf. 3.1.1. supra). En conclusion, il n'est pas prouvé que l'appelant ait eu conscience et volonté d'employer un étranger sans autorisation. Le fait qu'il avait incité D______ à ne pas employer de travailleur au noir – fait corroboré par ce dernier – suffit à faire douter que l'appelant ait, sinon envisagé, accepté la commission d'une infraction (art. 12 al. 2 CP). Quant à la coactivité, plaidée par l'accusation et retenue par le premier juge, elle n'est pas établie. Rien n'indique que l'appelant et D______ aient décidé, ensemble, du recrutement de E______ et de s'affranchir des devoirs imposés par la LEI. Retenir la culpabilité au (seul) motif que l'appelant revêtait la qualité d'associé-gérant reviendrait à lui imputer une responsabilité objective, non subordonnée à l'existence d'une faute (cf. ATF 143 III 242 consid. 3.1).</w:t>
      </w:r>
    </w:p>
    <w:p>
      <w:r>
        <w:t>- 10/12 - P/18997/2021 Par conséquent, A______ sera acquitté du chef d'emploi d'étranger(s) sans autorisation. Le jugement entrepris sera réformé sur ce point. 4. 4.1. L'appel ayant été admis, il ne sera pas perçu de frais (art. 428 al. 1 CPP a contrario).</w:t>
      </w:r>
    </w:p>
    <w:p>
      <w:r>
        <w:t>Les frais de la procédure préliminaire et de première instance seront laissés à la charge de l'Etat (art. 426 al. 1 et 428 al. 3 CPP).</w:t>
      </w:r>
    </w:p>
    <w:p>
      <w:r>
        <w:t>4.2.1. Acquitté, l'appelant peut prétendre à une indemnité pour les dépenses occasionnées par l'exercice raisonnable de ses droits de procédure, tant pour la première que pour la deuxième instance (art. 429 al. 1 let. a et let. b cum 436 al. 1 CPP).</w:t>
      </w:r>
    </w:p>
    <w:p>
      <w:r>
        <w:t>4.2.2. Les notes d'honoraires du conseil de l'appelant respectant globalement les principes prévalant en matière d'indemnisation du prévenu, lui seront accordées :  Une indemnité de CHF 6'900.- TTC pour la procédure préliminaire et de première instance ;  Une indemnité de CHF 4'492.10 (soit CHF 11'392.10 moins CHF 6'900.-) TTC pour la procédure d'appel. * * * * *</w:t>
      </w:r>
    </w:p>
    <w:p>
      <w:r>
        <w:t>- 11/12 - P/18997/2021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