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AARP/254/2014 vom 23. Mai 2014</w:t>
      </w:r>
    </w:p>
    <w:p>
      <w:r>
        <w:t>GE Cour de justice, 2014-05-23, FR</w:t>
      </w:r>
    </w:p>
    <w:p>
      <w:r>
        <w:rPr>
          <w:b/>
        </w:rPr>
        <w:t xml:space="preserve">Quelle: </w:t>
      </w:r>
      <w:r>
        <w:t>https://mcp.opencaselaw.ch/entscheid/ge_gerichte_AARP_254_2014</w:t>
      </w:r>
    </w:p>
    <w:p>
      <w:r>
        <w:t>FR: GE_GERICHTE AARP/254/2014 du 23 mai 2014</w:t>
      </w:r>
    </w:p>
    <w:p>
      <w:r>
        <w:t>IT: GE_GERICHTE AARP/254/2014 del 23 maggio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- 6/10 - P/7186/2013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L’appel ne porte en l’espèce que sur la quotité de la peine infligée à l’intimé par les premiers juges.</w:t>
      </w:r>
    </w:p>
    <w:p>
      <w:r>
        <w:t>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2.2.2.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2.2.3.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w:t>
      </w:r>
    </w:p>
    <w:p>
      <w:r>
        <w:t>Même si la quantité de drogue ne joue pas un rôle prépondérant, elle constitue sans conteste un élément important. Elle perd cependant de l'importance au fur et à mesure que l'on s'éloigne de la limite, pour la cocaïne, de 18 grammes de substance pure (cf. ATF 138 IV 100 consid. 3.2 p. 103 ; 120 IV 334 consid. 2a p. 338 ; 109 IV 143 consid. 3b p. 145) à partir de laquelle le cas doit être considéré comme grave. Le type et la nature du trafic en cause sont aussi déterminants. L'appréciation est différente selon que l'auteur a agi de manière autonome ou comme membre d'une</w:t>
      </w:r>
    </w:p>
    <w:p>
      <w:r>
        <w:t>- 7/10 - P/7186/2013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6B_567/2012 du 18 décembre 2012 consid. 3.2 ; 6B_793/2011 du 26 janvier 2012 consid. 4.1 et les références citées).</w:t>
      </w:r>
    </w:p>
    <w:p>
      <w:r>
        <w:t>2.2.4.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2.3</w:t>
      </w:r>
    </w:p>
    <w:p>
      <w:r>
        <w:t>En l’espèce, il est établi par le dossier et non contesté en appel que l’activité coupable de X______ a porté sur la réception d’environ 600 grammes de cocaïne d’un taux de pureté moyen de 22,7% transportée depuis le Portugal par A______. Le comportement de l’intimé réalise ainsi la circonstance aggravante prévue à la lettre a de l'art. 19 al. 2 LStup.</w:t>
      </w:r>
    </w:p>
    <w:p>
      <w:r>
        <w:t>Le Tribunal correctionnel a notamment retenu que, n'étant pas lui-même toxicomane, l’intimé a agi par pur appât du gain. Lors de l'enquête et du procès, la collaboration de ce dernier a été très mauvaise, dès lors qu’il a d’abord nié les faits qui lui étaient reprochés, contestant toute implication dans un trafic de stupéfiants. Il n’a pas manifesté de réelle prise de conscience de la gravité de ses actes, persistant à les minimiser. Il a tout d’abord déclaré qu’il devait écouler la drogue lui-même, puis s’est rétracté en se présentant comme un simple rouage du trafic, son rôle se limitant</w:t>
      </w:r>
    </w:p>
    <w:p>
      <w:r>
        <w:t>- 8/10 - P/7186/2013 à réceptionner celle-ci. Il n’a d’ailleurs admis les faits qui lui étaient reprochés qu’une fois confronté aux preuves recueillies contre lui, tout en persistant à minimiser ses agissements, en alléguant avoir tenu un rôle secondaire. Les explications données quant aux circonstances dans lesquelles il a été amené à réceptionner A______ sont également peu crédibles. Aucun élément ne permet toutefois de déterminer sa réelle implication ou sa position au sein de l'organisation et de conclure qu’il exerçait une fonction élevée au sein de celle-ci ou qu’il devait écouler lui-même la drogue. Ses allers retours entre le Portugal et la Suisse au cours des mois d’avril et de mai 2013, ainsi que les nombreux contacts téléphoniques intervenus avec C____ / B______, qui semble être un des responsables du réseau, sont insuffisants à cet égard. Au vu des éléments du dossier, c’est à juste titre que l’autorité de première instance a retenu que son rôle se limitait à l’accueil de la mule et à la mise en relation de celle-ci avec le destinataire final de la drogue. Les premiers juges n’ont donc pas minimisé le rôle du prévenu dans le trafic pour lequel il a été reconnu coupable. Par ailleurs, la quantité de cocaïne importée est dans la norme, voire un peu moins élevée que celle habituellement transportée par une mule et, comme l’ont relevé les policiers dans leur rapport du 26 juillet 2013, son degré de pureté correspond à celui vendu au détail sur le marché local. La rémunération alléguée par l’intimé apparaît de ce fait plausible.</w:t>
      </w:r>
    </w:p>
    <w:p>
      <w:r>
        <w:rPr>
          <w:b/>
        </w:rPr>
        <w:t>E. 2.4</w:t>
      </w:r>
    </w:p>
    <w:p>
      <w:r>
        <w:t>Contrairement à l’avis du Ministère public, il n’y a pas lieu de tenir compte, lors de la fixation de la peine, d’anciennes condamnations de l’intéressé éliminées de son casier judiciaire (cf. art. 369 al. 7 CP ; ATF 135 IV 87 ; Message du Conseil fédéral du 21 septembre 1998 concernant la modification du code pénal suisse, FF 1999 1787ss ch. 236.5 p. 1975s).</w:t>
      </w:r>
    </w:p>
    <w:p>
      <w:r>
        <w:rPr>
          <w:b/>
        </w:rPr>
        <w:t>E. 2.5</w:t>
      </w:r>
    </w:p>
    <w:p>
      <w:r>
        <w:t>Il se justifiait en revanche d’infliger à l’intimé une peine plus sévère que celle prononcée à l’encontre de son co-prévenu, qui a mieux collaboré à la procédure et dont le rôle était plus subalterne. Au vu de l'ensemble de ces circonstances, la peine privative de liberté de 3 ans prononcée en première instance à l’encontre de l’intimé est adéquate, car adaptée à sa culpabilité, et doit être confirmée et, partant, l'appel du Ministère public rejeté. Il en va de même du sursis partiel (art. 43 CP), dont les conditions sont au demeurant réalisées, et qui est acquis à l’intimé en application de l’interdiction de la reformatio in pejus, en l’absence d’appel du Ministère public sur ce point (art. 391 al. 2 CPP).</w:t>
      </w:r>
    </w:p>
    <w:p>
      <w:r>
        <w:rPr>
          <w:b/>
        </w:rPr>
        <w:t>E. 2.6</w:t>
      </w:r>
    </w:p>
    <w:p>
      <w:r>
        <w:t>Le jugement entrepris doit ainsi être entièrement confirmé.</w:t>
      </w:r>
    </w:p>
    <w:p>
      <w:r>
        <w:rPr>
          <w:b/>
        </w:rPr>
        <w:t>E. 3</w:t>
      </w:r>
    </w:p>
    <w:p>
      <w:r>
        <w:t>Les motifs ayant conduit le Tribunal correctionnel à prononcer, par ordonnance séparée du 18 novembre 2013, le maintien de l’intimé en détention pour des motifs de sûreté sont toujours d'actualité, ce que celui-ci ne conteste au demeurant pas, de</w:t>
      </w:r>
    </w:p>
    <w:p>
      <w:r>
        <w:t>- 9/10 - P/7186/2013 sorte que la mesure sera reconduite mutatis mutandis (ATF 139 IV 277 consid. 2.2 à 2.3).</w:t>
      </w:r>
    </w:p>
    <w:p>
      <w:r>
        <w:rPr>
          <w:b/>
        </w:rPr>
        <w:t>E. 4</w:t>
      </w:r>
    </w:p>
    <w:p>
      <w:r>
        <w:t>Vu l'issue de l'appel et la qualité de l’appelant, les frais de la procédure seront laissés à la charge de l'Etat. * * * * *</w:t>
      </w:r>
    </w:p>
    <w:p>
      <w:r>
        <w:t>- 10/10 - P/7186/2013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