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AARP/253/2021 vom 2. September 2021</w:t>
      </w:r>
    </w:p>
    <w:p>
      <w:r>
        <w:t>GE Cour de justice, 2021-09-02, FR</w:t>
      </w:r>
    </w:p>
    <w:p>
      <w:r>
        <w:rPr>
          <w:b/>
        </w:rPr>
        <w:t xml:space="preserve">Quelle: </w:t>
      </w:r>
      <w:r>
        <w:t>https://mcp.opencaselaw.ch/entscheid/ge_gerichte_AARP_253_2021</w:t>
      </w:r>
    </w:p>
    <w:p>
      <w:r>
        <w:t>FR: GE_GERICHTE AARP/253/2021 du 2 septembre 2021</w:t>
      </w:r>
    </w:p>
    <w:p>
      <w:r>
        <w:t>IT: GE_GERICHTE AARP/253/2021 del 2 settembre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w:t>
      </w:r>
    </w:p>
    <w:p>
      <w:r>
        <w:t>- 5/17 - P/24857/2020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2.1.2.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sera en principe moins sévèrement puni que celui qui vend cent grammes à dix reprises (arrêt du Tribunal fédéral 6B_189/2017 du 7 décembre 2017 consid. 5.1). S'agissant d'apprécier les mobiles qui ont poussé l'auteur à agir, le juge doit distinguer le cas de</w:t>
      </w:r>
    </w:p>
    <w:p>
      <w:r>
        <w:t>- 6/17 - P/24857/2020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2.1.3.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Lorsque la peine privative de liberté est d'une durée telle qu'elle permet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(art. 42 CP), à savoir les perspectives d'amendement, valent en revanche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w:t>
      </w:r>
    </w:p>
    <w:p>
      <w:r>
        <w:t>- 7/17 - P/24857/2020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Il en va de même s'il a été condamné à une peine pécuniaire de plus de 180 jours en vertu de l'ancien droit (disposition transitoire de la modification du code pénal du 19 juin 2015).</w:t>
      </w:r>
    </w:p>
    <w:p>
      <w:r>
        <w:rPr>
          <w:b/>
        </w:rPr>
        <w:t>E. 2.2</w:t>
      </w:r>
    </w:p>
    <w:p>
      <w:r>
        <w:t>La faute de l’appelant est importante. Il a pris part à un trafic international de stupéfiants, avec une facilité déconcertante. Si son trafic a porté sur une seule occurrence et sur une quantité relativement limitée de 100 grammes, soit environ 26 grammes de cocaïne pure, il a néanmoins largement dépassé le seuil du cas grave fixé par la jurisprudence à 18 grammes. Il a franchi une frontière internationale, ce qui, même s’il s’est déplacé en tram, démontre une importante volonté délictuelle ; il savait en effet pertinemment que son rôle était de ramener la drogue en Suisse en déjouant les contrôles inhérents à un tel transport. Son mobile relève de l'appât du gain rapide et facile ; quand bien même ses explications relatives à la situation de sa fille en Angleterre, qui sont constantes mais nullement étayées par des pièces, seraient conformes à la réalité, sa motivation demeurerait l’obtention rapide d’une somme d’argent pour améliorer sa situation.</w:t>
      </w:r>
    </w:p>
    <w:p>
      <w:r>
        <w:t>- 8/17 - P/24857/2020 Sa situation personnelle ne saurait justifier ses actes. Au contraire : il pouvait travailler et gagner de quoi subvenir à ses besoins et à ceux de sa famille, et au pire demander l’aide de ses proches. Il a préféré gagner rapidement de l’argent facile, sans se préoccuper de la dangerosité de la drogue qu’il a transportée. Une première arrestation et sa condamnation, en 2015, ne l’a manifestement pas dissuadé de récidiver quelques cinq ans plus tard. Sa collaboration a été sans particularité, étant relevé qu’interpellé en flagrant délit il ne pouvait guère faire autrement que reconnaître les faits. Compte tenu de l’ensemble de ces éléments, la peine privative de liberté de 20 mois prononcée par le premier juge apparaît adéquate et proportionnée. Par ailleurs, même si l’appelant remplit les conditions d’un sursis, la facilité avec laquelle il a récidivé, la légèreté de ses agissements et la futilité de ses mobiles démontrent une absence de prise de conscience et de remords. Le prononcé d’une peine assortie d’un sursis complet ne paraît pas être suffisant pour permettre une réelle prise de conscience et une remise en question de ses agissements. Dès lors, afin de permettre à l’appelant de comprendre effectivement les conséquences de ses actes et de prévenir toute récidive, un sursis partiel, tel celui prononcé par le premier juge, apparaît nécessaire. Le jugement entrepris sera donc confirmé et la peine prononcée assortie, à raison de sa moitié, d’un sursis partiel. La durée du délai d’épreuve de quatre ans est acquise à l’appelant, quand bien même, dans les circonstances d’espèce, un délai d’épreuve encore plus long aurait pu se justifier.</w:t>
      </w:r>
    </w:p>
    <w:p>
      <w:r>
        <w:rPr>
          <w:b/>
        </w:rPr>
        <w:t>E. 3.1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infraction grave à la LStup (let. o).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L'application de l'art. 66a al. 2 CP doit se faire dans le respect du principe de proportionnalité. En d'autres termes, le juge doit faire une pesée des intérêts entre celui public à l'éloignement et la situation personnelle du condamné (G. FIOLKA / L. VETTERLI, op. cit., p. 87 ; K. KÜMIN, Darf eine Aufenthaltsbewilligung</w:t>
      </w:r>
    </w:p>
    <w:p>
      <w:r>
        <w:t>- 9/17 - P/24857/2020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w:t>
      </w:r>
    </w:p>
    <w:p>
      <w:r>
        <w:t>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w:t>
      </w:r>
    </w:p>
    <w:p>
      <w:r>
        <w:t>- 10/17 - P/24857/2020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Dans l'examen du cas de rigueur, il faut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w:t>
      </w:r>
    </w:p>
    <w:p>
      <w:r>
        <w:t>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du Tribunal fédéral 6B_1192/2018 du 23 janvier 2019 consid. 2.2.3), ce qui rend les intérêts présidant à l'expulsion de l'intéressé importants (arrêt du Tribunal fédéral 6B_1329/2018 du 14 février 2019 consid. 2.4.2).</w:t>
      </w:r>
    </w:p>
    <w:p>
      <w:r>
        <w:t>- 11/17 - P/24857/2020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du 18 mars 2019 consid. 1.3).</w:t>
      </w:r>
    </w:p>
    <w:p>
      <w:r>
        <w:rPr>
          <w:b/>
        </w:rPr>
        <w:t>E. 3.2</w:t>
      </w:r>
    </w:p>
    <w:p>
      <w:r>
        <w:t>En l’espèce, l’appelant ne saurait se prévaloir sérieusement de la clause de rigueur. S’il a effectivement réussi à exercer pendant quelques années une activité lucrative en Suisse, son intégration demeure limitée et n’est en rien supérieure à une intégration ordinaire, au contraire. Il a nécessité, tout au long de la procédure, l’assistance d’un interprète portugais, ce qui atteste que sa maîtrise du français demeure partielle. Ses liens sont essentiellement tissés avec sa communauté d’origine, et sa famille nucléaire ne vit pas en Suisse. Le simple fait que les revenus de son activité professionnelle en Suisse lui aient permis de subvenir à leurs besoins à l’étranger ne crée manifestement pas une situation personnelle grave au sens de la loi. Ses liens avec sa belle-sœur et sa nièce ne sont pas protégés par le droit au respect de la vie privée et familiale au sens de l’art. 8 CEDH, étant relevé qu’ils ne faisaient pas ménage commun. Au surplus, son comportement désinvolte à l’égard des autorités, auxquelles il n’a pas hésité à mentir sur son identité lors de sa première venue en Suisse, puis sa condamnation en 2015 pour des infractions à la LStup, et la présente condamnation, feraient en tout état obstacle à l’application de la clause de rigueur s’il devait être retenu qu’il se trouvait dans une situation personnelle grave, ce qui n’est pas le cas.</w:t>
      </w:r>
    </w:p>
    <w:p>
      <w:r>
        <w:t>Le prononcé de l’expulsion doit dès lors être confirmé. Afin de tenir compte des efforts d’intégration de l’appelant, sa durée sera toutefois ramenée à cinq ans.</w:t>
      </w:r>
    </w:p>
    <w:p>
      <w:r>
        <w:rPr>
          <w:b/>
        </w:rPr>
        <w:t>E. 3.3</w:t>
      </w:r>
    </w:p>
    <w:p>
      <w:r>
        <w:t>Il n'y a pas lieu d'étendre la mesure d'expulsion prononcée à l'ensemble de l'espace Schengen, le prévenu étant ressortissant d'un Etat membre.</w:t>
      </w:r>
    </w:p>
    <w:p>
      <w:r>
        <w:rPr>
          <w:b/>
        </w:rPr>
        <w:t>E. 4.1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w:t>
      </w:r>
    </w:p>
    <w:p>
      <w:r>
        <w:t>- 12/17 - P/24857/2020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(ATF 137 IV 249 consid. 4.5 p. 256 ; arrêt du Tribunal fédéral 6B_35/2017 du 26 février 2018 consid. 9.1). Ces principes s'appliquent, en particulier, aussi aux supports de données numériques (cf. arrêts du Tribunal fédéral 6B_35/2017 du 26 février 2018 consid. 9.1 ; 6B_279/2011 du 20 juin 2011 consid. 4.1 ; 6B_748/2008 du 16 février 2009 consid. 4.5.3 et 4.5.4).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S'agissant de smartphones, le Tribunal fédéral a jugé que des appareils ayant permis aux trafiquants de se coordonner pouvaient être confisqués et détruits, le tri systématique des données licites et illicites n'étant pas envisageable pratiquement (arrêt 6B_279/2011 du 20 juin 2011 consid. 4).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Selon les circonstances, un prévenu peut ainsi être autorisé à faire extraire, à ses frais, des données légales, avant la destruction du support les contenant (arrêt du Tribunal fédéral 6B_348/2021 du 3 mai 2021 consid. 7).</w:t>
      </w:r>
    </w:p>
    <w:p>
      <w:r>
        <w:rPr>
          <w:b/>
        </w:rPr>
        <w:t>E. 4.2</w:t>
      </w:r>
    </w:p>
    <w:p>
      <w:r>
        <w:t>En l’espèce, l’appelant conteste la confiscation et la destruction de son téléphone portable. Cet appareil est toutefois un outil essentiel dans le trafic de stupéfiants. L’appelant n’a fourni que des indications particulièrement vagues et imprécises sur son commanditaire, la manière dont il devait le retrouver, les circonstances de son trafic et de sa rémunération. Il est notoire que, de nos jours, les informations sont échangées par le biais d’un appareil de type smartphone, et que de nombreuses applications diverses peuvent servir (notamment, in casu, l’application de messagerie Whatsapp qui a semble-t-il beaucoup sonné immédiatement après l’arrestation de l’appelant). Les adresses et coordonnées en lien avec le trafic de stupéfiants peuvent s’échanger à prix d’or entre trafiquants. Il existe un risque non nul, au vu des antécédents de l’appelant, que celui-ci puisse encore se servir des informations</w:t>
      </w:r>
    </w:p>
    <w:p>
      <w:r>
        <w:t>- 13/17 - P/24857/2020 (numéros de téléphones, adresses courriel, contacts, etc.) stockées sur cet appareil, ou les remettre à des tiers qui pourraient s’en servir, s’il devait être remis en circulation. La simple suppression de la carte SIM ne suffit pas à faire disparaître ce risque. Procéder à un tri et à une identification des correspondants de l’appelant, à travers différentes applications, pour déterminer quelles informations sont pertinentes au trafic de stupéfiants, représente manifestement à ce stade un travail disproportionné et d’un coût prohibitif en temps et en personnel ; seule la destruction de l’appareil est susceptible de palier ce risque de façon efficace et pour un coût raisonnable. L’appelant soutient avoir acheté l’appareil en question avec le produit de son travail, et que des photographies personnelles importantes, notamment en lien avec les funérailles de sa mère, se trouveraient dessus. La mère de l’appelant étant décédée en 2016, soit a priori avant le début de son activité professionnelle en Suisse, ces explications laissent perplexe et paraissent de circonstance. Cela étant, dans le respect du principe de proportionnalité et comme le permet la jurisprudence, l’appelant sera autorisé à obtenir, à ses frais qu’il devra avancer, toutes les photographies antérieures à décembre 2020 stockées dans le téléphone. Sous cette réserve, la confiscation et la destruction du téléphone de l’appelant doivent dès lors être confirmées.</w:t>
      </w:r>
    </w:p>
    <w:p>
      <w:r>
        <w:rPr>
          <w:b/>
        </w:rPr>
        <w:t>E. 5</w:t>
      </w:r>
    </w:p>
    <w:p>
      <w:r>
        <w:t>L'appelant, qui succombe pour l’essentiel, supportera les trois-quarts des frais de la procédure envers l'Etat (art. 428 CPP).</w:t>
      </w:r>
    </w:p>
    <w:p>
      <w:r>
        <w:rPr>
          <w:b/>
        </w:rPr>
        <w:t>E. 6</w:t>
      </w:r>
    </w:p>
    <w:p>
      <w:r>
        <w:t>Considéré globalement, l'état de frais produit par Me C______, défenseure d'office de l’appelant, satisfait les exigences légales et jurisprudentielles régissant l'assistance judiciaire gratuite en matière pénale.</w:t>
      </w:r>
    </w:p>
    <w:p>
      <w:r>
        <w:t>La rémunération de Me C______ sera partant arrêtée à CHF 2’267.90 correspondant à 7h35 d'activité au tarif de CHF 200.-/heure plus la majoration forfaitaire de 20%, une indemnité de déplacement de CHF 100.-, l'équivalent de la TVA au taux de 7.7% en CHF 147.85 et les frais par CHF 200.-.</w:t>
      </w:r>
    </w:p>
    <w:p>
      <w:r>
        <w:t>* * * * *</w:t>
      </w:r>
    </w:p>
    <w:p>
      <w:r>
        <w:t>- 14/17 - P/24857/2020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