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AARP/249/2022 vom 5. August 2022</w:t>
      </w:r>
    </w:p>
    <w:p>
      <w:r>
        <w:t>GE Cour de justice, 2022-08-05, FR</w:t>
      </w:r>
    </w:p>
    <w:p>
      <w:r>
        <w:rPr>
          <w:b/>
        </w:rPr>
        <w:t xml:space="preserve">Quelle: </w:t>
      </w:r>
      <w:r>
        <w:t>https://mcp.opencaselaw.ch/entscheid/ge_gerichte_AARP_249_2022</w:t>
      </w:r>
    </w:p>
    <w:p>
      <w:r>
        <w:t>FR: GE_GERICHTE AARP/249/2022 du 5 août 2022</w:t>
      </w:r>
    </w:p>
    <w:p>
      <w:r>
        <w:t>IT: GE_GERICHTE AARP/249/2022 del 5 agosto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L'art. 217 al. 1 CP punit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 6B_787/2017 du 12 avril 2018 consid. 6.1 ; 6B_1017/2016 du 10 juillet 2017 consid. 2.2).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Il n'est pas nécessaire que le débiteur ait eu les moyens de fournir entièrement sa prestation, il suffit qu'il ait pu fournir plus qu'il ne l'a fait et qu'il ait, dans cette mesure, violé son obligation d'entretien (ATF 114 IV 124 consid. 3b p. 124 s. ; arrêts du Tribunal fédéral 6B_787/2017 du 12 avril 2018 consid. 6.1 ; 6B_1017/2016 du 10 juillet 2017 consid. 2.4). Lorsque la quotité de la contribution d'entretien a été fixée dans le dispositif d'un jugement civil valable et exécutoire, le juge pénal appelé à statuer en application de</w:t>
      </w:r>
    </w:p>
    <w:p>
      <w:r>
        <w:t>- 6/14 - P/15036/2018 l'art. 217 CP est lié par ce montant (ATF 106 IV 36 ; arrêts du Tribunal fédéral 6B_787/2017 du 12 avril 2018 consid. 6.1 ; 6B_608/2017 du 12 avril 2018 consid. 4.1 ; 6B_739/2017 du 9 février 2018 consid. 2.1 ; 6B_519/2017 du</w:t>
      </w:r>
    </w:p>
    <w:p>
      <w:r>
        <w:rPr>
          <w:b/>
        </w:rPr>
        <w:t>E. 2.2</w:t>
      </w:r>
    </w:p>
    <w:p>
      <w:r>
        <w:t>En l'espèce, il est établi qu'en vertu du jugement rendu par le TPI le 24 juin 2011, l'appelant était débiteur d'une contribution d'entretien mensuelle de CHF 550.- jusqu'à la majorité, voire au-delà, pour C______, et CHF 500.- par mois, jusqu'à l'âge de 12 ans révolus, puis CHF 550.- par mois jusqu'à la majorité, voire au-delà, pour D______. Durant la période pénale, l'appelant ne s'est acquitté qu'à une ou deux reprises de ses dettes. Aucun recours n'a été formé contre ce jugement, ni demande de modification, de sorte que l'arriéré accumulé s'élève à CHF 29'727.-. C'est le lieu de préciser qu'une modification de ce jugement civil ne peut être effectuée par le juge pénal et qu'il convient de s'adresser aux juridictions civiles pour ce faire. Les revenus réels de l'appelant pendant la période pénale sont difficiles à établir, au regard du flou qu'il a entretenu à ce sujet. Selon lui, ses revenus avaient oscillé pendant la période pénale entre CHF 2'500.- et CHF 3'000.- nets et provenaient du chômage, d'une société de distribution de journaux (bien que l'on ignore quand il a débuté cette activité) et d'activité de déménageur non déclarée. Il a déclaré de façon crédible, même si on ignore pour quelles raisons il est revenu sur ses déclarations</w:t>
      </w:r>
    </w:p>
    <w:p>
      <w:r>
        <w:t>- 7/14 - P/15036/2018 devant la CPAR, qu'il partageait les frais du ménage avec son épouse, qui travaillait lors des faits reprochés et réalisait un salaire mensuel compris CHF 1'500.- et CHF 2'000.-. Les revenus du ménage ont dès lors pu osciller entre CHF 4'000.- et CHF 5'000.- durant la période pénale. Le minimum vital de l'appelant durant cette période s'est élevé à CHF 1'848.-, à savoir CHF 850.- (minimum d'un couple en concubinage selon les normes d'insaisissabilité de l'Office des poursuites, réduit à la moitié), CHF 375.- (moitié du loyer, estimé d'après le bail produit) et CHF 623.- (assurance maladie). Au regard de la quotité disponible, qui a pu varier selon certains mois, l'appelant aurait pu s'acquitter d'au moins une partie de la contribution d'entretien due à chacune de ses filles. Il convient au surplus de relever que son salaire n'a depuis la fin de la période pénale et jusqu'à ce jour pas grandement évolué. Pourtant, depuis le début de la procédure, il est parvenu à s'acquitter d'une certaine somme au SCARPA, ce qui montre qu'il aurait aussi pu fournir cet effort auparavant. Il a affirmé avoir réglé d'autres dettes pendant la période pénale, sans préciser lesquelles, mais également des amendes de stationnement, alors que les contributions d'entretien de ses enfants étaient prioritaires. L'appelant ne s'est en outre durant la période en cause pas donné les moyens de respecter son obligation d'entretien. Sa lettre de motivation et son curriculum vitae produits dans la procédure ne viennent pas étayer ses affirmations, au demeurant fort vagues, selon lesquelles il aurait recherché un emploi mieux rémunéré comme il en avait le devoir, et qui lui aurait permis de payer ne serait-ce qu'en partie la contribution d'entretien mise à sa charge. Il apparaît objectivement que sur la base des seuls éléments figurant au dossier, dont il ressort clairement qu'ils ne sont pas complets, l'appelant aurait eu, pendant la période pénale, les moyens de payer à tout le moins une partie de la contribution d'entretien due. Au vu de ses obligations d'entretien, dont il avait manifestement parfaitement conscience, l'appelant ne pouvait demeurer sans source de revenus suffisants pour les satisfaire. Sa pleine capacité de travail à cette période n'est au demeurant pas remise en cause. L'appelant ne saurait ainsi être suivi lorsqu'il soutient ne pas avoir été en mesure de s'acquitter de ses obligations alimentaires durant les années visées sans faute de sa part. Compte tenu des faits qui précèdent, durant la période pénale visée, l'appelant aurait pu être en mesure de verser un montant à titre de contribution à l'entretien de ses filles, à tout le moins partiellement. Au vu du jugement civil rendu le 24 juin 2011 et la quasi absence de versements durant la période pénale visée, l'appelant a agi en toute connaissance de cause.</w:t>
      </w:r>
    </w:p>
    <w:p>
      <w:r>
        <w:t>- 8/14 - P/15036/2018 Partant, les éléments constitutifs objectifs et subjectifs de la violation d'une obligation d'entretien sont réalisés et le verdict de culpabilité rendu à l'encontre de l'appelant du chef d'infraction à l'art. 217 al. 1 CP, pour les faits reprochés dans l'acte d'accusation, doit être confirmé. 3. 3.1.1. La violation de l'obligation d'entretien est passible d'une peine privative de liberté de trois ans au plus ou d'une peine pécuniaire (art. 217 CP). 3.1.2. Le 1er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6B_503/2012 du 18 avril 2013 consid. 8.1). Cependant, lorsqu'une nouvelle loi entre en vigueur pendant l'exécution d'un délit continu, il convient de prendre en compte le nouveau droit uniquement (AARP/124/2020 du 24 mars 2020, consid. 2.1 ; M. DUPUIS / L. MOREILLON / C. PIGUET / S. BERGER / M. MAZOU / V. RODIGARI, Code pénal, Petit Commentaire, Bâle 2017, n. 19 ad art. 2 et les références citées ; voir aussi arrêt du Tribunal fédéral 6B_196/2012 du 24 janvier 2013 consid. 1.3). Il convient donc d'appliquer le nouveau droit des sanctions en l'espèce, le délit continu commis par l'appelant s'étant déroulé sur une période pénale s'étendant jusqu'au 31 juillet 2019.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D'après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3.2.3.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w:t>
      </w:r>
    </w:p>
    <w:p>
      <w:r>
        <w:t>- 9/14 - P/15036/2018 moment du jugement, notamment en tenant compte de son revenu et de sa fortune, de son mode de vie, de ses obligations d'assistance, en particulier familiales, et du minimum vital (art. 34 al. 2 CP). Au sens de l'art. 40 al. 1 CP, la durée minimale de la peine privative de liberté est de trois jours; elle peut être plus courte si la peine privative de liberté est prononcée par conversion d’une peine pécuniaire (art. 36) ou d’une amende (art. 106) non payées. 3.2.4.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Il peut adresser au condamné un avertissement et prolonger le délai d’épreuve de la moitié au plus de la durée fixée dans le jugement (alinéa 2). Cette limite vaut même s’il y a plusieurs prolongations (CR CP I-KUHN/VUILLE, 2 e éd. 2021, n. 9 ad art. 46 CP). Si la prolongation intervient après l’expiration du délai d’épreuve, elle court dès le jour où elle est ordonnée (art. 46 al. 2 in fine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w:t>
      </w:r>
    </w:p>
    <w:p>
      <w:r>
        <w:t>- 10/14 - P/15036/2018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6B_291/2020 du 15 mai 2020 consid. 2.3). 3.2.5. Conformément à l'art. 48 let. a ch. 2 CP, le juge atténue la peine si l'auteur a agi dans un état de détresse profonde. Il y a détresse profonde au sens de l'art. 48 let. a ch. 2 CP lorsque l'auteur est poussé à transgresser la loi pénale par une situation proche de l'état de nécessité, c'est-à-dire que, sous la pression d'une détresse particulièrement grave, il croit ne pouvoir trouver d'autre issue que la commission de l'infraction (ATF 147 IV 249 consid. 2.1 ; arrêt du Tribunal fédéral 6B_1431/2020 du 8 juillet 2021 consid. 4.2). 3.3. En l'espèce, la faute de l'appelant est loin d'être négligeable. Il n'a pas versé la contribution due pour l'entretien de ses filles durant presque quatre ans, alors même qu'il aurait pu être en mesure de le faire, à tout le moins partiellement. Quand bien même l'appelant pouvait anticiper ses difficultés à s'acquitter de ses obligations alimentaires, il n'a entrepris aucune démarche pour modifier la contribution d'entretien due. Il semble cependant avoir réalisé au cours de la présente procédure qu'il devait prendre ses responsabilités et a trouvé un arrangement avec le SCARPA. Il a versé régulièrement les montants dus, même s'ils n'atteignent pas encore la somme exigible. S'il a pu agir avec égoïsme, en ce sens qu'il a agi par pure convenance personnelle au détriment des intérêts de ses propres enfants, il a entamé un changement. Sa collaboration n'est pas bonne, dans la mesure où il a varié sur ses revenus et a entretenu le flou à leur sujet. Sa prise de conscience semble entamée, mais doit encore évoluer au vu de sa propension à minimiser sa responsabilité. La situation personnelle de l'appelant, certes difficile, ne saurait toutefois justifier ses agissements. Il a deux antécédents judiciaires spécifiques. Au vu de ses efforts réalisés au cours de la procédure, une peine privative de liberté ne paraît pas justifiée. Une quotité de peine de 90 jours-amende paraît adéquate au regard de sa faute. Le montant du jour-amende arrêté à CHF 20.- tient compte de sa situation personnelle et économique, d'autant plus qu'il s'agit de ne pas saper les efforts financiers que l'appelant réalise depuis avril 2020. S'il a certes débuté à prendre ses responsabilités, elles arrivent très tardivement et après deux condamnations pénales. L'appelant paraît également se maintenir dans une position</w:t>
      </w:r>
    </w:p>
    <w:p>
      <w:r>
        <w:t>- 11/14 - P/15036/2018 passive et ne semble pas déterminé à se remettre à flots pour contribuer à l'entretien de ses filles. Il présente un pronostic défavorable, la peine ordonnée sera donc ferme. Le fait que l'appelant devra exécuter cette peine peut apparaître suffisante à le détourner de la récidive et sera partant pris en considération dans la décision de ne pas révoquer le sursis antérieur (pour mémoire : octroyé le 19 novembre 2013 par le MP à la peine de 120 jours-amende à CHF 100.-), qui aurait un effet dévastateur sur les finances du prévenu, alors qu'il est souhaité qu'il continue à payer ses contributions d'entretien. En revanche, il sera adressé à l'appelant un nouvel avertissement et le délai d'épreuve sera prolongé, compte tenu du fait qu'il l'a déjà été d'un an, de six mois (à compter du jour où la prolongation est ordonnée, cf. art. 46 al. 2 in fine CP), afin de s'assurer qu'il continue à assumer ses obligations. La détresse profonde plaidée ne ressort aucunement de ses déclarations ou de son attitude. Il ne peut être établi que l'appelant se serait trouvé sous la pression d'une détresse particulièrement grave, de sorte qu'il ne pouvait croire trouver d'autre issue que la commission de l'infraction. La peine ne sera partant pas atténuée en vertu de l'art. 48 CP. Le jugement entrepris sera réformé quant à la peine prononcée. 4. L'appelant demande à ce que les frais de première instance soient revus à la baisse, voire entièrement remis, en raison de son endettement. Or son manque de collaboration ne permet pas d'établir sa situation financière au sens de l'art. 425 CPP. Il n'a en effet aucunement cherché à démontrer ses dettes, ne serait-ce qu'en produisant un extrait du registre des poursuites. Aucune remise ou réduction des frais de la procédure ne sera ordonnée, étant précisé que l'appelant pourra demander des facilités de paiement au Service des contraventions, qui se chargera du recouvrement des frais de la procédure.</w:t>
      </w:r>
    </w:p>
    <w:p>
      <w:r>
        <w:rPr>
          <w:b/>
        </w:rPr>
        <w:t>E. 4</w:t>
      </w:r>
    </w:p>
    <w:p>
      <w:r>
        <w:t>septembre 2017 consid. 3.2 ; 6B_1017/2016 du 10 juillet 2017 consid. 2.2).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6B_787/2017 du 12 avril 2018 consid. 6.1 ; 6B_739/2017 du 9 février 2018 consid. 2.1 ; 6B_1017/2016 du 10 juillet 2017 consid. 2.1 ; 6B_496/2016 du</w:t>
      </w:r>
    </w:p>
    <w:p>
      <w:r>
        <w:rPr>
          <w:b/>
        </w:rPr>
        <w:t>E. 5</w:t>
      </w:r>
    </w:p>
    <w:p>
      <w:r>
        <w:t>L'appelant obtient partiellement gain de cause. Il supportera dès lors la moitié des frais de la procédure d'appel, qui comprendront un émolument de décision de CHF 800.- (art. 428 al. 1 CPP ; art. 14 al. 1 let. e RTFMP). Dans cette même proportion, il ne supportera que la moitié des émoluments complémentaires de jugement fixés à CHF 600.- par le TP. * * * * *</w:t>
      </w:r>
    </w:p>
    <w:p>
      <w:r>
        <w:t>- 12/14 - P/15036/2018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