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AARP/248/2015 vom 15. Mai 2015</w:t>
      </w:r>
    </w:p>
    <w:p>
      <w:r>
        <w:t>GE Cour de justice, 2015-05-15, FR</w:t>
      </w:r>
    </w:p>
    <w:p>
      <w:r>
        <w:rPr>
          <w:b/>
        </w:rPr>
        <w:t xml:space="preserve">Quelle: </w:t>
      </w:r>
      <w:r>
        <w:t>https://mcp.opencaselaw.ch/entscheid/ge_gerichte_AARP_248_2015</w:t>
      </w:r>
    </w:p>
    <w:p>
      <w:r>
        <w:t>FR: GE_GERICHTE AARP/248/2015 du 15 mai 2015</w:t>
      </w:r>
    </w:p>
    <w:p>
      <w:r>
        <w:t>IT: GE_GERICHTE AARP/248/2015 del 15 maggio 2015</w:t>
      </w:r>
    </w:p>
    <w:p>
      <w:pPr>
        <w:pStyle w:val="Heading2"/>
      </w:pPr>
      <w:r>
        <w:t>Erwägungen</w:t>
      </w:r>
    </w:p>
    <w:p>
      <w:r>
        <w:rPr>
          <w:b/>
        </w:rPr>
        <w:t>E. 40</w:t>
      </w:r>
    </w:p>
    <w:p>
      <w:r>
        <w:t>et les arrêts cités).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 Le juge du fait dispose d'un large pouvoir dans l'appréciation des preuves (ATF 120 Ia 31 précité). Lorsqu'il est confronté à des versions contradictoires, il forge sa conviction sur la base d'un ensemble d'éléments ou d'indices convergents. En pareil cas, il ne suffit pas que l'un ou l'autre de ceux-ci ou même chacun d'entre eux pris isolément soit à lui seul insuffisant.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127 I 38 consid. 2a p. 41 ; 120 Ia 31 précité ; arrêts du Tribunal fédéral 6B_827/2007 du 11 mars 2008 consid. 5.1 et 6P.114/2006 du 17 août 2006 consid. 2.1).</w:t>
      </w:r>
    </w:p>
    <w:p>
      <w:r>
        <w:t>- 12/17 - P/17686/2009 3) 3.1. Se rend coupable de brigandage celui qui aura commis un vol en usant de violence à l’égard d’une personne, en la menaçant d’un danger imminent pour la vie ou l’intégrité corporelle ou en la mettant hors d’état de résister (art. 140 ch. 1 al. 1 CP). Le brigandage est une forme aggravée du vol qui se caractérise par les moyens que l’auteur a employés (ATF 133 IV 207 consid. 4.2 p. 210 ; ATF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Au lieu de la violence, l’auteur peut employer la menace d’un danger imminent pour la vie ou l’intégrité corporelle, à l’exclusion d’autres biens juridiquement protégés. La menace doit être sérieuse, même si la victime ne l’a pas crue. Elle peut intervenir par actes concluants (B. CORBOZ, Les infractions en droit suisse, volume I, 3e édition, Berne 2010, n. 6 ad art. 140 CP). Il importe peu que la victime ait été mise dans l’incapacité de se défendre; il suffit que l’auteur ait recouru aux moyens indiqués et que le vol ait été consommé (ATF 133 IV 207 consid. 4.3.1 p. 211 ; arrêt du Tribunal fédéral 6B_356/2012 du 1er octobre 2012 consid. 1.2.1).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op.cit., n. 1 à 11 ad art. 140 CP).</w:t>
      </w:r>
    </w:p>
    <w:p>
      <w:r>
        <w:t>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w:t>
      </w:r>
    </w:p>
    <w:p>
      <w:r>
        <w:t>- 13/17 - P/17686/2009</w:t>
      </w:r>
    </w:p>
    <w:p>
      <w:r>
        <w:t>3.3. En l’espèce, le prévenu a constamment fait valoir son innocence, contestant vigoureusement avoir agressé l’appelante. Pour sa part, cette dernière a invariablement déclaré le reconnaître, relevant le visage de celui-ci, en particulier l’expression de son regard, comme élément déterminant. Le contexte dans lequel a eu lieu cette identification par la partie plaignante, à savoir via le site internet FACEBOOK en suivant les indications de sa sœur désignant le prévenu en se fondant sur des ouï-dire non vérifiés, implique toutefois de la considérer avec retenue (cf. arrêt AARP/466/2014 du 9 septembre 2014 dans la procédure P/1281/2013, consid. 3.6). L’influence de ces circonstances sur l’appréciation de la partie plaignante, alors motivée par la volonté – certes légitime et compréhensible – de retrouver à tout prix son agresseur, ne peut être écartée, de sorte que la portée de ses déclarations doit être examinée à l’aune de l’ensemble des éléments du dossier. Ainsi, il apparaît notamment que l’appelante n’a reconnu aucun des autres amis de l’intimé, présents lors des line-up. Seule l’apparence de J______ lui a uniquement semblé familière, – sans qu’elle parvienne à situer l’origine de cette impression –, alors que celui-ci était le seul individu de peau noire accompagnant l’intimé le soir des faits. Plusieurs témoins ont d’ailleurs confirmé que J______ n’était pas rentré avec le prévenu, mais était parti de son côté avec l’un des leurs en direction du centre-ville. L’intimé et ses amis ayant tous déclaré avoir quitté les environs de la salle communale de C______ vers 2h00/3h00 le 25 septembre 2010 pour rentrer chez eux ou dans des directions différentes, les considérations qui précèdent ne permettent pas de douter du fait que le prévenu soit rentré seul à son domicile ce soir-là. A cet égard, d’éventuels questionnements au sujet de l’itinéraire qu’il aurait alors emprunté n’apparaissent pas suffisants pour asseoir une culpabilité. En outre, ni E______ ni sa tante – laquelle n’a manifesté aucune crainte de représailles – n’ont reconnu aucune de ces personnes sur les photographies présentées par la police ou lors des line-up, alors que celui-là avait été victime d’une agression présentant nombre de similitudes quant aux protagonistes impliqués et au mode opératoire utilisé, dans un lieu et un laps de temps très proches. Cette procédure a d’ailleurs été classée par la Ministère public non seulement vis-à-vis de l’intimé, mais aussi de J______. Sur le déroulement de son agression, l’appelante a expliqué que son agresseur avait traversé la route de C______ en accélérant le pas pour venir à sa rencontre, puis avait couru sur les trois marches menant à l’allée de l’immeuble. A aucun moment, elle n’a relevé que son agresseur aurait pu avoir quelque difficulté pour marcher, alors que, comme le jour de son interpellation, l’intimé portait, sous son pantalon, une</w:t>
      </w:r>
    </w:p>
    <w:p>
      <w:r>
        <w:t>- 14/17 - P/17686/2009 attelle au genou gauche en raison d’une entorse sévère, ce qui aurait dû affecter sa démarche, rendant sa jambe raide. Finalement, les déclarations des parties, mais aussi celles des témoins, divergent de manière relativement notable au sujet de l’habillement du prévenu le jour de l’agression dont a été victime l’appelante. Cet élément ne permet donc pas d’établir l’implication de l’intimé, pas plus qu’un hypothétique risque de collusion, non prouvé, compte tenu notamment de l’audition de H______ à cet égard trois jours après l’interpellation du prévenu qui était alors en détention préventive.</w:t>
      </w:r>
    </w:p>
    <w:p>
      <w:r>
        <w:t>Au vu de ce qui précède, le peu d'éléments à charge n'est ainsi pas suffisant pour convaincre la CPAR de la culpabilité de l'intimé. Il subsiste un doute sérieux et insurmontable quant aux éléments factuels justifiant une condamnation. Partant, le verdict d'acquittement prononcé par le premier juge doit être confirmé. L'appel sera, partant, rejeté. 4) Vu l'issue de l'appel, les conclusions civiles formées par l'appelante seront rejetées (art. 126 al. 2 let. d CP). 5) Vu la qualité de l’appelante et l'issue de la procédure d'appel, les frais de celle-ci seront laissés à la charge de l'Etat (art. 136 al. 2 let. b et art. 428 CPP). 6) 6.1. Les frais imputables à la défense d’office et à l'assistance judiciaire gratuite sont des débours (art. 422 al. 2 let. a CPP) qui constituent des frais de procédure (art. 422 al. 1 CPP). 6.2.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14 août 2014. Il s’ensuit que la CPAR n’est pas compétente pour taxer l’activité déployée par Me X______ antérieurement à cette date, correspondant, selon son relevé du 21 avril</w:t>
      </w:r>
    </w:p>
    <w:p>
      <w:r>
        <w:t>- 15/17 - P/17686/2009 2015 à 12 heures 50 minutes. Copie dudit document sera ainsi adressée à la juridiction de première instance pour taxation. 6.3.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6.4. In casu, compte tenu des principes susrappelés, l'activité consacrée par le conseil de l'appelante à la procédure d’appel s’élève à 6 heures 35 minutes. Cependant, les postes visant 45 minutes pour un « entretien avec la cliente pour expliquer l’arrêt de la CPAR (y compris examen de l’arrêt qui sera rendu) », 1 heure 30 minutes pour la « déclaration d’appel motivée » en date du 25 août 2014 et 20 minutes pour l’« examen de l’ordonnance de la CPAR » le 24 février 2015 doivent en être retranchés pour être pris en considération au titre de l’indemnisation forfaitaire. Il en résulte un solde de 5 heures d’activité au tarif de chef d’étude (soit CHF 1'000.-).</w:t>
      </w:r>
    </w:p>
    <w:p>
      <w:r>
        <w:t>- 16/17 - P/17686/2009 L'état de frais présenté ne répond à aucune autre critique et il sera ainsi admis à due concurrence. Il convient d’y ajouter le temps consacré à l’audience de débats d’appel, laquelle a duré une heure, ainsi que l'indemnisation forfaitaire de 20 %, soit CHF 200.- et la TVA à hauteur de CHF 96.-. Par conséquent, une indemnité totale de CHF 1’296.- sera versée à Me X______. 6.5. L’activité déployée par Me Y______, défenseur d’office de l’intimé, en appel s’élève à 6 heures. Il ressort cependant du relevé du 21 avril 2015 de ce conseil, que ce temps comprend notamment 1 heure 15 minutes consacrées à la rédaction de lettres et des « conférences téléphoniques ». Compte tenu des principes susrappelés, ces éléments doivent être retranchés pour être pris en considération dans le cadre du forfait de 20 % accordé lorsque l’état de frais porte sur moins de 30 heures. Le temps consacré à l’audience de débats d’appel qui avait été estimé à 90 minutes, devra également être rapporté à 1 heure. Ainsi, une indemnité totale de CHF 1'101.60, correspondant à 4 heures 15 minutes d’activité, comprenant CHF 170.- au titre d’indemnisation forfaitaire de 20 % et CHF 81.60 pour la TVA, sera versée à Me Y______. * * * * *</w:t>
      </w:r>
    </w:p>
    <w:p>
      <w:r>
        <w:t>- 17/17 - P/17686/2009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