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AARP/247/2020 vom 9. Juli 2020</w:t>
      </w:r>
    </w:p>
    <w:p>
      <w:r>
        <w:t>GE Cour de justice, 2020-07-09, FR</w:t>
      </w:r>
    </w:p>
    <w:p>
      <w:r>
        <w:rPr>
          <w:b/>
        </w:rPr>
        <w:t xml:space="preserve">Quelle: </w:t>
      </w:r>
      <w:r>
        <w:t>https://mcp.opencaselaw.ch/entscheid/ge_gerichte_AARP_247_2020</w:t>
      </w:r>
    </w:p>
    <w:p>
      <w:r>
        <w:t>FR: GE_GERICHTE AARP/247/2020 du 9 juillet 2020</w:t>
      </w:r>
    </w:p>
    <w:p>
      <w:r>
        <w:t>IT: GE_GERICHTE AARP/247/2020 del 9 luglio 2020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2.1</w:t>
      </w:r>
    </w:p>
    <w:p>
      <w:r>
        <w:t>Selon l'art. 90 al. 2 LCR, celui qui, par une violation grave d’une règle de la circulation, crée un sérieux danger pour la sécurité d’autrui ou en prend le risque est puni d’une peine privative de liberté de trois ans au plus ou d’une peine pécuniaire. 2.2.1.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w:t>
      </w:r>
    </w:p>
    <w:p>
      <w:r>
        <w:t>- 7/15 - P/13217/2019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2.2.2. Ces principes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mais également de son efficacité en termes de prévention. Ce critère d'efficacité est autant décisif pour la détermination de la sanction que pour en fixer la durée. La faute de l'auteur n'est en revanche pas déterminante, pas plus que sa situation économique ou le fait que son insolvabilité apparaisse prévisible (ATF 144 IV 313 consid. 1.1.1 ; 137 II 297 consid. 2.3.4 ; 134 IV 97 consid. 4.2 et 5.2.3 ; arrêts du Tribunal fédéral 6B_1249/2014 du 7 septembre 2015 consid. 1.2 ; 6B_420/2017 du 15 novembre 2017 consid. 2.1).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Celle-ci porte atteinte au patrimoine de l'intéressé et constitue donc une sanction plus clémente qu'une peine privative de liberté, qui l'atteint dans sa liberté personnelle (ATF 144 IV 313 consid. 1.1.1 ; 134 IV 97 consid. 4.2.2). 2.3.1. Selon l’art. 41 al. 1 let a CP, le juge peut prononcer une peine privative de liberté à la place d’une peine pécuniaire si celle-là paraît justifiée pour détourner l’auteur d’autres crimes ou délits. Un tel choix doit être motivé de manière circonstanciée (al. 2). 2.3.2. La durée minimale de la peine privative de liberté est en principe de trois jours au moins et 20 ans au plus (art. 40 CP). 2.4.1. Le juge atténue la peine si l'auteur a agi en cédant à un mobile honorable (art. 48 let. a ch. 1 CP). Le caractère honorable des mobiles s'apprécie d'après l'échelle des valeurs éthiques reconnues par la collectivité dans son ensemble. Pour</w:t>
      </w:r>
    </w:p>
    <w:p>
      <w:r>
        <w:t>- 8/15 - P/13217/2019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ou le but visé (arrêt du Tribunal fédéral 6B_713/2018 du 21 novembre 2018 consid. 5.4 et la référence citée). 2.4.2. Selon l'art. 48 lit. a ch. 2 CP, le juge atténue également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De plus, le bénéfice de cette circonstance atténuante ne peut être accordé que si l'auteur a respecté une certaine proportionnalité entre les motifs qui le poussent et l'importance du bien qu'il lèse (ATF 107 IV 94 consid. 4a ; arrêt du Tribunal fédéral 6B_13/2009 du 9 février 2009 consid. 4.1, avec référence à l'ATF 110 IV 9 consid. 2). 2.4.3. Selon l’art. 48a CP, le juge qui atténue la peine n’est pas lié par le minimum légal de la peine prévue pour l’infraction. Il peut prononcer une peine d’un genre différent de celui qui est prévu pour l’infraction mais il reste lié par le maximum et par le minimum légal de chaque genre de peine. 2.4.4. L'existence d'une reformatio in pejus doit être examinée à l'aune du dispositif (ATF 142 IV 129 consid. 4.5 ; 141 IV 132 consid. 2.7.3 ; 139 IV 282 consid. 2.6 ; arrêt du Tribunal fédéral 6B_1021/2016 du 20 septembre 2017 consid. 2.1.1). 2.5.1. Aux termes de l'art. 42 al. 1 CP, le juge suspend en règle générale l'exécution d'une peine pécuniaire ou d'une peine privative de liberté de deux ans au plus lorsqu'une peine ferme ne paraît pas nécessaire pour détourner l'auteur d'autres crimes ou délits.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w:t>
      </w:r>
    </w:p>
    <w:p>
      <w:r>
        <w:t>- 9/15 - P/13217/2019 tous les éléments propres à éclairer l'ensemble du caractère du prévenu et ses chances d'amendement. Il n'est pas admissible d'accorder un poids particulier à certains critères et d'en négliger d'autres qui sont pertinents (ATF 135 IV 180 consid. 2.1 ; arrêts du Tribunal fédéral 6B_1339/2016 du 23 mars 2017 consid. 1.1.1). Le défaut de prise de conscience de la faute peut justifier un pronostic défavorable, car seul celui qui se repent de son acte mérite la confiance que l'on doit pouvoir accorder au condamné bénéficiant du sursis (ATF 82 IV 81 ; arrêt du Tribunal fédéral 6B_276/2018 du 29 septembre 2018 consid. 3.1). La nature de l'infraction ne fournit aucune indication sur les perspectives d'amendement du condamné (ATF 101 IV 257 consid. 1 ; 101 IV 122 consid. 2 ; arrêt du Tribunal fédéral 6B_435/2007 du 12 février 2008 consid. 3.6.1). 2.5.2. Si le juge suspend totalement l'exécution d'une peine, il impartit au condamné un délai d'épreuve de deux à cinq ans (art. 44 al. 1 CP).</w:t>
      </w:r>
    </w:p>
    <w:p>
      <w:r>
        <w:rPr>
          <w:b/>
        </w:rPr>
        <w:t>E. 2.6</w:t>
      </w:r>
    </w:p>
    <w:p>
      <w:r>
        <w:t>La faute de l'appelant est conséquente dans la mesure où il a gravement violé les règles de la circulation routière en dépassant de 44 km/h la vitesse autorisée. Le TP a relevé, à juste titre, que cet excès de vitesse est proche du seuil fixé par l'art. 90 al. 4 LCR, prévoyant le délit de chauffard, soit un dépassement d'au moins 50 km/h là où la limite est fixée à 50 km/h (let. b). Certes, l’infraction en cause a eu lieu durant un bref laps de temps, sur une route sèche, avec de bonnes conditions météorologiques et un trafic fluide, en particulier en l'absence de cyclistes sur la piste prévue à cet effet, mais dans une localité et en soirée, ce qui affaiblissait la visibilité. L’appelant connaissait en outre parfaitement les limitations kilométriques sur ce tronçon qu'il empruntait quotidiennement. Il savait donc qu’après la portion de route limitée à 80 km/h venait une zone à 50 km/h. Pourtant, il a reconnu avoir décéléré seulement à la vue du panneau, ce qui sous-entendait une vitesse préalable supérieure à 100 km/h vu l'excès de vitesse retenu in casu. L'appelant ne s'est de la sorte en aucune manière soucié du danger qu'il créait pour l’intégrité physique et la vie des autres usagers de la route. Contrairement aux griefs de l'appelant, le TP a tenu compte de l’état de stress subi par celui-ci au moment des faits et, partant, son mobile altruiste consistant à secourir au plus vite sa petite amie en lui apportant un médicament (jugement, consid. 2.1). Le TP s’est contenté de rappeler que l’intervention d’un médecin de garde ou d’une ambulance aurait été plus efficace. Outre que l'appelant aurait d'autant plus été en mesure de penser à l'une de ces solutions alternatives qu'il a souligné la fréquence d'une telle situation, la véracité de sa justification souffre des doutes sérieux et irréductibles. Aucune preuve objective n'a été apportée pour l'étayer, à l'exemple d'un certificat médical. Aucune explication crédible n'a été avancée sur les raisons pour lesquelles un médicament prétendument vital pour l'intéressée soit – à de nombreuses occurrences – en possession de l'appelant. Des oublis à répétition n'emportent en effet pas la conviction. La justification de l'appelant permet de penser à une stratégie pour se dédouaner de la commission d'une nouvelle infraction afférente à la</w:t>
      </w:r>
    </w:p>
    <w:p>
      <w:r>
        <w:t>- 10/15 - P/13217/2019 législation sur la circulation routière. En conséquence, les circonstances atténuantes dont se prévaut l'appelant ne seront pas retenues. D'ailleurs, même en présence d'un tel danger pour sa petite amie, l'appelant ne saurait obtenir une atténuation de peine du fait qu'il n'aurait ainsi pas adopté un comportement totalement inconsidéré au regard de l'ensemble des circonstances. Avec cet argument, l’appelant se réfère à l’arrêt du Tribunal fédéral 6B_1224/2019 du 24 janvier 2020, lequel applique l'art. 100 ch. 4, dernière phrase, LCR à son considérant 3.4. Cette disposition prévoit certes que si le conducteur n’a pas fait preuve de la prudence imposée par les circonstances, la peine peut être atténuée. Outre que ce comportement doit intervenir lors d'une course officielle urgente, le Conseil fédéral a également précisé que la peine ne pouvait pas être atténuée si le conducteur n'avait nullement fait preuve de la prudence imposée par les circonstances, mais également que les motifs d’atténuation de la peine prévus à l'art. 48 CP étaient plus restrictifs (Message du Conseil fédéral concernant la modification de la loi sur les douanes du 6 mars 2015, FF 2015 2657 ss, 2701). Or, en l'espèce, l'appelant s'est permis de rouler dans une localité, aux abords d'une piste cyclable, à une vitesse qui ne lui aurait en aucun cas permis de respecter le principe de la conduite à vue, soit de parer à la présence soudaine dans son champ de vision d’un obstacle quelconque. Si le policier dans l'arrêt fédéral mentionné voulait également protéger la vie et l'intégrité physique de ses collègues, il suivait un autre véhicule de police dont les feux bleus étaient enclenchés, ce qui diminuait les risques. Le TP a en revanche pris en considération, à juste titre, le jeune âge, soit 21 ans au moment des faits, et l’immaturité apparente de l’appelant. Ce dernier a en outre reçu de très bonnes appréciations de ses employeurs. Malgré les circonstances, son entreprise formatrice s'est même engagée à ce qu'il réintègre sa place de stage lorsqu'il aura récupéré son permis de conduire. Dans le cadre privé, l'appelant peut compter sur le soutien de sa famille, avec laquelle il entretient d'excellentes relations. Sa situation personnelle est donc des plus favorables et son avenir, avant les événements en cause, était bien assuré. Sa collaboration a été bonne, l'appelant ayant de suite reconnu les faits reprochés. Cependant, pour la seconde fois, un mois et demi seulement après sa condamnation par le MP valaisan, l’appelant s’est permis de transgresser la législation en vigueur, dénotant une attitude méprisante pour la sécurité d’autrui. Ses déclarations devant le TP ont démontré que seules les sanctions administratives effectives ont été comprises. Même si l'appelant a exprimé des regrets dès les prémices de la procédure, ceux-ci apparaissent de circonstance pour récupérer dans les meilleurs délais son permis de conduire, nécessaire à la poursuite de sa formation professionnelle. L’aménagement de ses horaires de travail et sa nouvelle organisation</w:t>
      </w:r>
    </w:p>
    <w:p>
      <w:r>
        <w:t>- 11/15 - P/13217/2019 pour arriver à se déplacer sans permis trouvent leur origine dans la première infraction, sanctionnée en février 2019 déjà, et ont seulement été amplifiés, voire rendus plus substantiels par la répression de la nouvelle infraction. Néanmoins, relever ces inconvénients personnels dénote une prise de conscience encore toute égocentrique. L’appelant n’a commencé à saisir la gravité de son comportement qu’en audience de jugement, lorsqu’il a compris risquer une privation de liberté, de surcroît ferme. Avec à l'esprit tous ces aspects, il est acquis que sa prise de conscience, embryonnaire en novembre 2019, a néanmoins pu évoluer depuis, tout en demeurant imparfaite. L’antécédent spécifique, intervenu très peu de temps avant l’infraction reprochée in casu, doit être retenu à charge de l’appelant. Au vu de ce qui précède, le TP a opté à juste titre pour une peine privative de liberté en soulignant l'absence d'effet dissuasif des précédentes et récentes sanctions pécuniaires. Ce type de peine est ainsi le seul à demeurer efficace, y compris en termes de prévention. En revanche, sa quotité sera réduite à sept mois, durée plus adéquate et adaptée à la faute, mais aussi à la situation personnelle de l'appelant. Dans le même sens, au regard de la réaction de l'appelant en audience de jugement, mais surtout de l’exécution prévisible de la peine privative de liberté en cas de réitération, le pronostic peut encore être considéré comme ouvert et permet ainsi de lui octroyer une ultime chance en lui accordant le sursis. L'appelant peut compter sur un tissu familial, amical et professionnel solide. En dehors de son récent antécédent spécifique, il n'est pas connu des services de police. Il suit une formation professionnelle déjà ébranlée par le premier retrait de son permis de conduire et mise en péril par le second. Son permis ayant été délivré "à l'essai", l'appelant a en outre l'obligation de repasser l’examen ad hoc, de réussir un test psychologique et de suivre la formation complémentaire. Le risque de récidive paraît ainsi mesuré, ce d'autant que l'appelant a vendu sa voiture. Toutefois, il est vrai que cette situation subsistera à moyen, voire court terme, pour autant que l'appelant ait pu commencer à mettre en œuvre les diverses étapes pour récupérer son permis de conduire dès mars 2020. Pour cette raison, le délai d'épreuve devra être fixé à quatre ans de sorte à contrer toute récidive au moment de l'obtention d'un nouveau permis de conduire. L’absence de révocation du sursis octroyé par le MP valaisan est acquise à l’appelant (art. 391 al. 2 CPP). Non-contestée, la prolongation du délai d’épreuve, augmenté d'une année, sera confirmée. En définitive, le jugement entrepris sera réformé en faveur d’une peine privative de liberté de sept mois avec sursis (délai d'épreuve : quatre ans).</w:t>
      </w:r>
    </w:p>
    <w:p>
      <w:r>
        <w:t>- 12/15 - P/13217/2019</w:t>
      </w:r>
    </w:p>
    <w:p>
      <w:r>
        <w:rPr>
          <w:b/>
        </w:rPr>
        <w:t>E. 3.1</w:t>
      </w:r>
    </w:p>
    <w:p>
      <w:r>
        <w:t>Selon l’art. 426 al. 1 CPP, le prévenu supporte les frais de procédure s’il est condamné. Si l'autorité de recours rend une nouvelle décision, elle se prononce également sur les frais fixés par l'autorité inférieure (art. 428 al. 3 CPP). Les frais de la procédure d'appel sont mis à la charge des parties dans la mesure où elles succombent (art. 428 al. 1 CPP). Pour déterminer si une partie succombe ou obtient gain de cause, il faut examiner dans quelle mesure ses conclusions sont admises en deuxième instance (arrêt du Tribunal fédéral 6B_369/2018 du 7 février 2019 consid. 4.1 non publié in ATF 145 IV 90). 3.2.1. Dans la mesure où le verdict de culpabilité est inchangé en appel, l’appelant est condamné à supporter les frais de la procédure préliminaire et de première instance, hors émolument complémentaire. 3.2.2. L’appel portant uniquement sur la peine, l’appelant obtient partiellement gain de cause. Partant, les frais pour la procédure d’appel, comprenant un émolument de CHF 1'500.- (art. 14 al. 1 let. e du règlement fixant le tarif des frais en matière pénale [RTFMP]), ainsi que l’émolument complémentaire de première instance seront laissés pour moitié à la charge de l’Etat. * * * * *</w:t>
      </w:r>
    </w:p>
    <w:p>
      <w:r>
        <w:t>- 13/15 - P/13217/2019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