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AARP/246/2020 vom 6. Juli 2020</w:t>
      </w:r>
    </w:p>
    <w:p>
      <w:r>
        <w:t>GE Cour de justice, 2020-07-06, FR</w:t>
      </w:r>
    </w:p>
    <w:p>
      <w:r>
        <w:rPr>
          <w:b/>
        </w:rPr>
        <w:t xml:space="preserve">Quelle: </w:t>
      </w:r>
      <w:r>
        <w:t>https://mcp.opencaselaw.ch/entscheid/ge_gerichte_AARP_246_2020</w:t>
      </w:r>
    </w:p>
    <w:p>
      <w:r>
        <w:t>FR: GE_GERICHTE AARP/246/2020 du 6 juillet 2020</w:t>
      </w:r>
    </w:p>
    <w:p>
      <w:r>
        <w:t>IT: GE_GERICHTE AARP/246/2020 del 6 luglio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Confronté à des versions contradictoires, le juge forge sa conviction sur la base d'un ensemble d'éléments ou d'indices convergents. L'appréciation des preuves doit être</w:t>
      </w:r>
    </w:p>
    <w:p>
      <w:r>
        <w:t>- 11/16 - P/19958/2018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rPr>
          <w:b/>
        </w:rPr>
        <w:t>E. 2.2</w:t>
      </w:r>
    </w:p>
    <w:p>
      <w:r>
        <w:t>En l’espèce, comme vu supra les éléments de fait du dossier ne permettent pas d’établir à satisfaction de droit l’identité de l’auteur de la mise en danger de la vie d’autrui commise le 12 juin 2018, en particulier qu’elle aurait été commise par l’appelant. Il existe un doute sérieux à ce sujet, de sorte qu'en vertu du principe in dubio pro reo, l’appelant doit être mis au bénéfice de la version qui lui est la plus favorable, partant acquitté. Son appel sera par conséquent admis et le jugement du Tribunal de police réformé en ce sens qu’il sera acquitté du chef de mise en danger de la vie d’autrui.</w:t>
      </w:r>
    </w:p>
    <w:p>
      <w:r>
        <w:rPr>
          <w:b/>
        </w:rPr>
        <w:t>E. 3.1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rPr>
          <w:b/>
        </w:rPr>
        <w:t>E. 3.2</w:t>
      </w:r>
    </w:p>
    <w:p>
      <w:r>
        <w:t>En l’espèce, la boule saisie sur le chantier (inventoriée sous chiffre 4 de l’inventaire n° 3______ du 12 octobre 2018) doit être confisquée et détruite car elle a servi à la commission d’une infraction. Vu l'impossibilité de déterminer à qui appartiennent les boules découvertes chez l’appelant (chiffres 1 à 3 de l’inventaire précité), ce dernier n'en demandant d'ailleurs pas la restitution, leur confiscation et destruction sera confirmée.</w:t>
      </w:r>
    </w:p>
    <w:p>
      <w:r>
        <w:rPr>
          <w:b/>
        </w:rPr>
        <w:t>E. 4</w:t>
      </w:r>
    </w:p>
    <w:p>
      <w:r>
        <w:t>4.1.1. Selon l'art. 428 al. 1, première phrase, CPP, les frais de la procédure de recours sont mis à la charge des parties dans la mesure où elles ont obtenu gain de cause ou succombé.</w:t>
      </w:r>
    </w:p>
    <w:p>
      <w:r>
        <w:t>4.1.2. Dans la mesure où l'appelant obtient entièrement gain de cause, la totalité des frais de la procédure d’appel, en CHF 1'735.-, seront laissés à la charge de l’Etat.</w:t>
      </w:r>
    </w:p>
    <w:p>
      <w:r>
        <w:t>4.2.1. Si l'autorité de recours rend elle-même une nouvelle décision, elle se prononce également sur les frais fixés par l'autorité inférieure (art. 428 al. 3 CPP).</w:t>
      </w:r>
    </w:p>
    <w:p>
      <w:r>
        <w:t>- 12/16 - P/19958/2018 4.2.2. Selon l'art. 426 CPP,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w:t>
      </w:r>
    </w:p>
    <w:p>
      <w:r>
        <w:t>4.2.3. En l’espèce, vu l’acquittement de l’appelant du chef de mise en danger de la vie d’autrui et le maintien de sa condamnation pour infraction à la LStup, seuls 20% des frais de la procédure de première instance seront mis à sa charge, le reste, y compris l’émolument complémentaire de jugement de CHF 800.-, étant laissé à celle de l’Etat.</w:t>
      </w:r>
    </w:p>
    <w:p>
      <w:r>
        <w:rPr>
          <w:b/>
        </w:rPr>
        <w:t>E. 5.1</w:t>
      </w:r>
    </w:p>
    <w:p>
      <w:r>
        <w:t>Aux termes de l'art. 51 CP, le juge impute sur la peine la détention avant jugement subie par l'auteur dans le cadre de l'affaire qui vient d'être jugée ou d'une autre procédure. Un jour de détention correspond à un jour-amende ou à quatre heures de travail d'intérêt général. Il découle de cette disposition qu'une peine privative de liberté doit, si possible, être compensée avec la privation de liberté déjà intervenue, même dans une autre procédure (ATF 141 IV 236 consid. 3.3 p. 239 ; 133 IV 150 consid. 5.1 p. 154 s.). La détention avant jugement doit être imputée sur la peine, indépendamment du fait que celle-ci soit assortie du sursis ou non et qu'il s'agisse d'une peine pécuniaire ou privative de liberté (ATF 141 IV 236 consid. 3.3 p. 239 ; 135 IV 126 consid. 1.3.6 p. 129). La question de l'indemnisation d'une détention injustifiée ne se pose en principe que si une imputation suffisante de cette détention sur une autre sanction au sens de l'art. 51 CP n'est plus possible. L'indemnisation financière est ainsi subsidiaire à l'imputation. L'intéressé n'a pas le droit de choisir entre ces deux voies (ATF 141 IV 236 consid. 3.3 p. 239 et les références).</w:t>
      </w:r>
    </w:p>
    <w:p>
      <w:r>
        <w:rPr>
          <w:b/>
        </w:rPr>
        <w:t>E. 5.2</w:t>
      </w:r>
    </w:p>
    <w:p>
      <w:r>
        <w:t>En l’espèce, vu son acquittement, les six jours de détention subis par l'appelant dans la présente procédure étaient injustifiés. Conformément à la jurisprudence, ils seront imputés sur la peine privative de liberté de six mois prononcée par le MP dans la procédure P/4______/2012, purgée en partie par l'appelant (peine restante de trois mois et dix jours).</w:t>
      </w:r>
    </w:p>
    <w:p>
      <w:r>
        <w:rPr>
          <w:b/>
        </w:rPr>
        <w:t>E. 6.1</w:t>
      </w:r>
    </w:p>
    <w:p>
      <w:r>
        <w:t>Selon l'art. 135 al. 1 CPP, le défenseur d'office est indemnisé conformément au tarif des avocats du canton du for du procès. En matière pénale, le tarif horaire est de CHF 110.- pour l'avocat stagiaire, CHF 150.- pour le collaborateur et CHF 200.- pour le chef d'étude (art. 16 du règlement sur l'assistance juridique [RAJ]).</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- 13/16 - P/19958/2018</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w:t>
      </w:r>
    </w:p>
    <w:p>
      <w:r>
        <w:rPr>
          <w:b/>
        </w:rPr>
        <w:t>E. 6.2</w:t>
      </w:r>
    </w:p>
    <w:p>
      <w:r>
        <w:t>L'activité consacrée aux conférences, audiences et autres actes de la procédure est majorée de 20% jusqu'à 30h de travail et de 10% au-delà,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6.3</w:t>
      </w:r>
    </w:p>
    <w:p>
      <w:r>
        <w:t>En l'occurrence Me B______ produit un état de frais qui apparaît excessif.</w:t>
      </w:r>
    </w:p>
    <w:p>
      <w:r>
        <w:t>Le temps consacré à l’étude du jugement de première instance (1h30), à la rédaction de la déclaration d’appel (2h54) ainsi qu’à la prise de connaissance de l’ordonnance de la CPAR et des observations du MP (6min), ne sera pas indemnisé, ces activités étant couvertes par le forfait pour activité diverses.</w:t>
      </w:r>
    </w:p>
    <w:p>
      <w:r>
        <w:t>Les 25h42 consacrées par le collaborateur à la rédaction du mémoire d’appel de 34 pages seront réduites à 18h, tandis que les 4h24 réalisées par le stagiaire pour ce même poste seront réduites à 2h, soit en tout environ deux jours et demi de travail, suffisants au vu du dossier de la présente cause. S’il est vrai que Me B______ s’est vu nommé d’office au stade de l’appel et que cela a pu engendrer une quantité de travail plus importante que s'il avait défendu son client dès le stade de l’instruction, il subsiste que la présente cause ne présente pas de difficulté particulière d’un point de vue juridique qui aurait nécessité des recherches spécifiques et que son volume ne justifie pas une activité d’une telle importance au titre de la rédaction du mémoire d'appel.</w:t>
      </w:r>
    </w:p>
    <w:p>
      <w:r>
        <w:t>En conclusion, l'indemnité sera arrêtée à CHF 3'594.- correspondant à 18h30 d'activité au tarif de CHF 150.-/heure (CHF 2'775.-) et 2h d’activité au tarif de CHF 110.-/heure (CHF 220.-), plus la majoration forfaitaire de 20% (CHF 599.-). Me B______ n’étant personnellement pas assujetti à la TVA, celle-ci ne lui sera pas versée en sus. * * * * *</w:t>
      </w:r>
    </w:p>
    <w:p>
      <w:r>
        <w:t>- 14/16 - P/19958/2018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