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AARP/244/2015 vom 20. Mai 2015</w:t>
      </w:r>
    </w:p>
    <w:p>
      <w:r>
        <w:t>GE Cour de justice, 2015-05-20, FR</w:t>
      </w:r>
    </w:p>
    <w:p>
      <w:r>
        <w:rPr>
          <w:b/>
        </w:rPr>
        <w:t xml:space="preserve">Quelle: </w:t>
      </w:r>
      <w:r>
        <w:t>https://mcp.opencaselaw.ch/entscheid/ge_gerichte_AARP_244_2015</w:t>
      </w:r>
    </w:p>
    <w:p>
      <w:r>
        <w:t>FR: GE_GERICHTE AARP/244/2015 du 20 mai 2015</w:t>
      </w:r>
    </w:p>
    <w:p>
      <w:r>
        <w:t>IT: GE_GERICHTE AARP/244/2015 del 20 maggio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- 8/12 - P/2638/2012 des preuves, le juge aurait dû éprouver des doutes sérieux et irréductibles sur sa culpabilité (ATF 120 Ia 31 consid. 2 p. 33 ss, ATF 124 IV 86 consid. 2a p. 87 ss).</w:t>
      </w:r>
    </w:p>
    <w:p>
      <w:r>
        <w:t>2.2.1. D'après l'art. 252 CP, sera puni d'une peine privative de liberté de trois ans au plus ou d'une peine pécuniaire celui qui, dans le dessein d'améliorer sa situation ou celle d'autrui, aura notamment fait usage, pour tromper autrui, de certificats ou attestations contrefaites ou falsifiées. Le comportement punissable peut consister en la contrefaçon, la falsification, l'usage (d'un certificat faux ou falsifié) ou l'abus du certificat d'autrui. Par certificat on entend un document qui atteste l’identité d’une personne, son statut, sa formation ou l’expérience acquise. Le certificat de travail est un certificat au sens de l'art. 252 CP (ATF 95 IV 68 in JdT 1969 IV 68). 2.2.2. L'infraction est intentionnelle. En outre, l'auteur doit agir dans le dessein d'améliorer sa situation ou celle d'autrui. Ce dessein est notamment réalisé lorsque l'auteur veut se faciliter la vie, sans toutefois vouloir obtenir un avantage qualifié d'illicite (ATF 111 IV 24 consid. 1b p. 26 ; arrêt du Tribunal fédéral 6B_619/2012 du 18 décembre 2012 consid. 1.2.1). Le dessein d'améliorer sa situation ou celle d'autrui est une notion tellement large qu'elle englobe pratiquement toutes les situations, sauf si l'auteur a agi sans but raisonnable ou seulement pour nuire à autrui (B. CORBOZ, Les infractions en droit suisse, vol. II, 3e éd., Berne 2010, n. 18 ad art. 252 CP).</w:t>
      </w:r>
    </w:p>
    <w:p>
      <w:r>
        <w:t>2.3.1. En l'espèce, l'élément principal corroborant la thèse d'un faux certificat établi par l'intimé est le témoignage de CD______, certes confirmé devant les autorités françaises, mais initialement donné par téléphone, puis dans un courriel non signé, expédié depuis l'adresse électronique de son mari, et dont elle ne s'est pas souvenue dans un premier temps. Si tant est que le courriel ait été effectivement rédigé par CD______, son ton acrimonieux laisse douter de la fiabilité des déclarations du témoin. L'hostilité avérée de CD______ à leur égard est le seul point sur lequel les ex-époux A______ et B______ s'accordent. Ce contexte rend son témoignage sujet à caution. CD______ perd en outre de sa crédibilité lorsque ses déclarations sont examinées à l'aune des écrits versés à la procédure, que l'on peut raisonnablement lui imputer notamment sur la base du témoignage de G______. Ces documents contredisent en effet l'utilisation d'un nom unique pour désigner le cabinet, puisqu'il en ressort de nombreuses variations tant en ce qui concerne l'intitulé du cabinet que l'ordre dans lequel CD______ présentait ses nom et prénom. Au vu des éléments qui précèdent, le témoignage de CD______ ne saurait suffire pour conclure que l'intimé a falsifié l'attestation de travail du 5 avril 2005, laquelle a</w:t>
      </w:r>
    </w:p>
    <w:p>
      <w:r>
        <w:t>- 9/12 - P/2638/2012 pu lui être remise comme il l'indique depuis le début de la procédure en dépit de leur conflit. La comparaison de l'attestation litigieuse avec d'autres documents établis par CD______ n'en fait pas ressortir le caractère faux. L'en-tête et le tampon ne sont pas surprenants vu les différentes appellations que celle-ci utilisait pour son cabinet. Il ressort des déclarations de l'appelante que le contenu de l'attestation correspond à ce qu'avait rédigé CD______ à la demande de l'intimé. Enfin, les signatures très ressemblantes ne révèlent rien. Cet ensemble d'indices porte à croire que le document litigieux a bien été rédigé et signé par CD______, l'orthographe en "CED" du nom de CD______, qui, il est vrai, ne ressort pas d'autres pièces, ne permettant pas à lui seul de conclure à un faux. Il est certes envisageable, comme l'a laissé à nouveau entendre aux débats d'appel l'appelante, que l'intimé se soit servi de la signature de CD______ qu'il aurait enregistrée sur un DVD. Ce récit relève toutefois de la pure hypothèse, que la production d'un DVD ne permettrait pas de confirmer, la possession de documents avec la signature d'une personne ne signifiant pas encore l'utilisation de ladite signature, d'autant qu'y figurait, à teneur des déclarations de l'appelante, une date postérieure à l'attestation litigieuse. 2.3.2. En tout état, admettrait-on que l'intimé a falsifié la signature de CD______ que l'infraction de faux dans les certificats ne pourrait être retenue, faute d'éléments au dossier permettant d'établir un quelconque dessein de l'intimé d'améliorer sa situation. Le document litigieux attestant de l'expérience professionnelle de l'appelante, l'intérêt de l'intimé à le produire dans la procédure de divorce pourrait se laisser supposer, n'eût été le fait que l'appelante elle-même déclare qu'elle aurait souhaité disposer d'un tel certificat. A suivre ses explications, le dessein de l'intimé n'aurait pas été d'améliorer sa propre situation, mais de favoriser son ex-épouse dans une autre procédure, soit celle relative à son allocation chômage en France. Une telle interprétation rendrait toutefois la dénonciation de l'appelante incompréhensible et irait largement au-delà de ce qui est décrit dans l'ordonnance pénale valant acte d'accusation, de sorte qu'elle ne pourrait être retenue. Au vu de ce qui précède, l'acquittement de l'intimé doit être confirmé.</w:t>
      </w:r>
    </w:p>
    <w:p>
      <w:r>
        <w:rPr>
          <w:b/>
        </w:rPr>
        <w:t>E. 3</w:t>
      </w:r>
    </w:p>
    <w:p>
      <w:r>
        <w:t>Dûment interpellé, l'intimé n'a pas faire valoir d'éventuelles prétentions en indemnisation fondées sur l'art. 429 CPP, de sorte qu'il sera retenu qu'il y a</w:t>
      </w:r>
    </w:p>
    <w:p>
      <w:r>
        <w:t>- 10/12 - P/2638/2012 implicitement renoncé (arrêt du Tribunal fédéral 1B_475/2012 du 11 janvier 2012 consid. 2.3).</w:t>
      </w:r>
    </w:p>
    <w:p>
      <w:r>
        <w:rPr>
          <w:b/>
        </w:rPr>
        <w:t>E. 4</w:t>
      </w:r>
    </w:p>
    <w:p>
      <w:r>
        <w:t>L'appelante succombe. Plaidant au bénéfice de l'assistance judiciaire, elle sera toutefois exonérée de la prise en charge des frais de procédure (art. 136 al. 2 let. b et art. 428 CPP), lesquels comprennent un émolument de décision de CHF 1'300.-.</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1er octobre 2014. 5.2.1. Selon l'art. 135 al. 1 CPP, le défenseur d'office et, par renvoi de l'art. 138 CPP, le conseil juridique gratuit de la partie plaignante,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5.2.2.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L'art. 17 RAJ mentionne que "l'état de frais détaille par rubriques les activités donnant lieu à indemnisation, avec indication du temps consacré. Les justificatifs des frais sont joints. Les directives du greffe sont applicables pour le surplus".</w:t>
      </w:r>
    </w:p>
    <w:p>
      <w:r>
        <w:t>- 11/12 - P/2638/2012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5.3</w:t>
      </w:r>
    </w:p>
    <w:p>
      <w:r>
        <w:t>En l'espèce, ne sont pas considérées comme nécessaires dans l'état de frais présenté par Me X______ les activités suivantes : - deux heures d'analyse du dossier par un chef d'étude, vu la prise en charge du dossier par Me X______, collaborateur, - le temps consacré à la rédaction de l'appel et à la confection du bordereau, au demeurant manifestement disproportionné (11h55) vu la nature de la cause, n'a pas à être indemnisé, celui-ci étant inclus dans le forfait courriers et téléphones, étant rappelé que la déclaration d'appel n'a pas besoin d'être motivée et ne justifie donc pas des heures d'activité (cf. art. 399 al. 3 CPP), - deux des quatre heures d'entretien et préparation à l'audience avec A______, celle-ci n'étant pas dans la position du prévenu et la difficulté de sa cause ne justifiant pas une préparation spécifique, - deux des quatre heures de préparation à l'audience, Me X______ connaissant déjà le dossier pour avoir assisté au titre de conseil privé A______ en première instance. L'activité exercée par Me X______ est pour le surplus en adéquation avec la nature, l'importance et la difficulté de la cause. Par conséquent, l'état de frais sera admis, après les déductions qui précèdent, à hauteur d'une heure d'activité d'un chef d'étude à CHF 200.-/heure et de 5h10 d'activité d'un collaborateur à CHF 125.-/heure. L'indemnisation sera dès lors accordée à hauteur de CHF 1'015.- (indemnisation forfaitaire de 20% [CHF 169.20] comprise, sans TVA vu le statut de collaborateur de Me X______).</w:t>
      </w:r>
    </w:p>
    <w:p>
      <w:r>
        <w:t>- 12/12 - P/2638/2012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