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AARP/243/2014 vom 20. Mai 2014</w:t>
      </w:r>
    </w:p>
    <w:p>
      <w:r>
        <w:t>GE Cour de justice, 2014-05-20, FR</w:t>
      </w:r>
    </w:p>
    <w:p>
      <w:r>
        <w:rPr>
          <w:b/>
        </w:rPr>
        <w:t xml:space="preserve">Quelle: </w:t>
      </w:r>
      <w:r>
        <w:t>https://mcp.opencaselaw.ch/entscheid/ge_gerichte_AARP_243_2014</w:t>
      </w:r>
    </w:p>
    <w:p>
      <w:r>
        <w:t>FR: GE_GERICHTE AARP/243/2014 du 20 mai 2014</w:t>
      </w:r>
    </w:p>
    <w:p>
      <w:r>
        <w:t>IT: GE_GERICHTE AARP/243/2014 del 20 maggio 2014</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consid. 3.3 et les références citées ; B. CORBOZ, in Commentaire de la LTF, 2009, no 27 ad art. 107 LTF).</w:t>
      </w:r>
    </w:p>
    <w:p>
      <w:r>
        <w:rPr>
          <w:b/>
        </w:rPr>
        <w:t>E. 1.2</w:t>
      </w:r>
    </w:p>
    <w:p>
      <w:r>
        <w:t>En l'espèce, conformément à l'arrêt de renvoi du Tribunal fédéral, seule la peine à infliger à l'appelant doit être examinée.</w:t>
      </w:r>
    </w:p>
    <w:p>
      <w:r>
        <w:rPr>
          <w:b/>
        </w:rPr>
        <w:t>E. 2.1</w:t>
      </w:r>
    </w:p>
    <w:p>
      <w:r>
        <w:t>p. 19 ss ; ATF 129 IV 6 consid. 6.1 p. 20 ; arrêt du Tribunal fédéral 6B_198/2013 du 3 juin 2013 consid. 1.1.1).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w:t>
      </w:r>
    </w:p>
    <w:p>
      <w:r>
        <w:t>- 5/11 - P/19583/2010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Le Tribunal fédéral a réexaminé à la lumière du nouveau droit la pratique développée antérieurement, selon laquelle lorsque la peine entrant en considération excédait de peu la limite au-delà de laquelle le sursis ne pouvait plus être octroyé, le juge devait examiner, sous l'angle de la prévention spéciale, si une peine encore compatible avec le sursis n'était pas néanmoins suffisante pour détourner l'intéressé de commettre de nouvelles infractions (ATF 118 IV 337 consid. 2c p. 339-340).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(ATF 134 IV 17 consid. 3.3, p. 23). Dans ce contexte, il a également été précisé qu'il n'était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w:t>
      </w:r>
    </w:p>
    <w:p>
      <w:r>
        <w:t>- 6/11 - P/19583/2010</w:t>
      </w:r>
    </w:p>
    <w:p>
      <w:r>
        <w:rPr>
          <w:b/>
        </w:rPr>
        <w:t>E. 2.2</w:t>
      </w:r>
    </w:p>
    <w:p>
      <w:r>
        <w:t>Conformément à l'art. 48 al. 1 let. c CP, le juge atténue la peine si l'auteur a agi en proie à une émotion violente que les circonstances rendaient excusables ou s'il a agi dans un état de profond désarroi. 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rPr>
          <w:b/>
        </w:rPr>
        <w:t>E. 2.3</w:t>
      </w:r>
    </w:p>
    <w:p>
      <w:r>
        <w:t>Si le juge doit prononcer une condamnation pour une infraction que l’auteur a commise avant d’avoir été condamné pour une autre infraction, il fixe la peine</w:t>
      </w:r>
    </w:p>
    <w:p>
      <w:r>
        <w:t>- 7/11 - P/19583/2010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Ainsi, le prononcé d’une peine d’ensemble - et donc d’une peine complémentaire - n’est possible que lorsque plusieurs peines pécuniaires, plusieurs travaux d’intérêt général, plusieurs peines privatives de liberté ou plusieurs amendes sont prononcés (cf. J. ACKERMANN, Basler Kommentar, Strafrecht I, 2e éd. 2007, N. 37 ad art. 49 CP). Selon cet auteur, il est exclu de prononcer une peine privative de liberté à titre de peine complémentaire à une peine pécuniaire (SJ 2012 189).</w:t>
      </w:r>
    </w:p>
    <w:p>
      <w:r>
        <w:rPr>
          <w:b/>
        </w:rPr>
        <w:t>E. 2.4</w:t>
      </w:r>
    </w:p>
    <w:p>
      <w:r>
        <w:t>En l'espèce, la faute de l'appelant est lourde. Il s'en est pris à l'intégrité corporelle d'autrui, avec détermination et violence, n'hésitant pas à traverser une route très fréquentée pour poursuivre sa victime, et prenant le risque de la blesser grièvement. Ses mobiles futiles relèvent d'une susceptibilité excessive et déplacée, et d'un désir de vengeance démesuré, excluant la mise au bénéfice de la circonstance atténuante de l'émotion violente. Il sera cependant tenu compte des difficultés de l'appelant à gérer ses émotions, liées tant à son parcours de vie qu'à l'agression dont il a été victime. L'attitude de l'appelant, qui après les faits a laissé sa victime gisant sur le trottoir, sans appeler les secours, et est rentré tranquillement chez lui pour contacter son avocat, dénote un mépris marqué pour autrui. Sa collaboration durant la procédure n'a pas été bonne, l'appelant persistant à justifier son geste par la prétendue faute de l'intimé, démontrant par là son absence de prise de conscience de l'illicéité de son comportement. Lors de l'audience devant la Cour de céans, l'appelant a cependant reconnu avoir agi sous l'effet de la panique, sans rejeter la responsabilité de ses actes sur l'intimé. L'appelant n'a pas d'antécédents, étant rappelé qu'il s'agit là d'un facteur neutre dans la détermination de la peine (ATF 136 IV 1). Cela étant, les infractions pour lesquelles il a été condamné depuis lors sont sans rapport avec la présente cause. Il poursuit le traitement psychothérapeutique entrepris de longue date, pour comprendre et mieux maîtriser ses émotions violentes. Sa volonté d'amendement apparaît sérieuse et fructueuse, puisqu'aucun fait de nature violente ne peut lui être reproché depuis presque quatre ans.</w:t>
      </w:r>
    </w:p>
    <w:p>
      <w:r>
        <w:t>- 8/11 - P/19583/2010 Après des années sans travail, il envisage une reconversion professionnelle. Enfin, l'appelant a exprimé des regrets qui paraissent sincères. Au vu des considérations qui précèdent, la peine infligée par les premiers juges paraît légèrement excessive et sera ramenée à vingt-quatre mois, dite peine apparaissant suffisante pour détourner l'appelant de commettre de nouvelles infractions. S'agissant d'une peine privative de liberté, elle n'est pas complémentaire aux peines pécuniaires prononcées le 18 mai 2011 par le Ministère public et le 21 juin 2011 par le Tribunal de police.</w:t>
      </w:r>
    </w:p>
    <w:p>
      <w:r>
        <w:rPr>
          <w:b/>
        </w:rPr>
        <w:t>E. 3.1</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rPr>
          <w:b/>
        </w:rPr>
        <w:t>E. 3.2</w:t>
      </w:r>
    </w:p>
    <w:p>
      <w:r>
        <w:t>En l'espèce, compte tenu de l'absence d'antécédents de l'appelant au moment des faits, de la nature différente des infractions commises depuis lors et de leur absence de gravité au vu des peines prononcées, de la poursuite du suivi psychothérapeutique et de la prise de conscience progressive de la nécessité de mieux maîtriser ses émotions, ainsi que des perspectives professionnelles de l'appelant, le pronostic n'est pas défavorable, de sorte que la peine sera assortie du sursis complet. La durée du délai d'épreuve sera fixée à trois ans, ce point n'étant au demeurant pas contesté par l'appelant. Les faits de la présente cause étant antérieurs à ceux faisant l'objet des condamnations prononcées par le Ministère public et le Tribunal de police, il n'y a pas lieu de se prononcer sur une éventuelle révocation des sursis octroyés.</w:t>
      </w:r>
    </w:p>
    <w:p>
      <w:r>
        <w:rPr>
          <w:b/>
        </w:rPr>
        <w:t>E. 4</w:t>
      </w:r>
    </w:p>
    <w:p>
      <w:r>
        <w:t>Les frais de la procédure postérieure à l'arrêt du Tribunal fédéral seront laissés à la charge de l'État dans la mesure où l'appelant obtient gain de cause dans cette phase</w:t>
      </w:r>
    </w:p>
    <w:p>
      <w:r>
        <w:t>- 9/11 - P/19583/2010 de la procédure. Il n'y a pas lieu de revenir sur les frais auxquels l'appelant a été condamné par arrêt du 3 mai 2013 (AARP/2______), ce point ne faisant pas l'objet de l'arrêt de renvoi du Tribunal fédéral. * * * * *</w:t>
      </w:r>
    </w:p>
    <w:p>
      <w:r>
        <w:t>- 10/11 - P/19583/2010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