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AARP/242/2024 vom 17. Juli 2024</w:t>
      </w:r>
    </w:p>
    <w:p>
      <w:r>
        <w:t>GE Cour de justice, 2024-07-17, FR</w:t>
      </w:r>
    </w:p>
    <w:p>
      <w:r>
        <w:rPr>
          <w:b/>
        </w:rPr>
        <w:t xml:space="preserve">Quelle: </w:t>
      </w:r>
      <w:r>
        <w:t>https://mcp.opencaselaw.ch/entscheid/ge_gerichte_AARP_242_2024</w:t>
      </w:r>
    </w:p>
    <w:p>
      <w:r>
        <w:t>FR: GE_GERICHTE AARP/242/2024 du 17 juillet 2024</w:t>
      </w:r>
    </w:p>
    <w:p>
      <w:r>
        <w:t>IT: GE_GERICHTE AARP/242/2024 del 17 luglio 2024</w:t>
      </w:r>
    </w:p>
    <w:p>
      <w:pPr>
        <w:pStyle w:val="Heading2"/>
      </w:pPr>
      <w:r>
        <w:t>Erwägungen</w:t>
      </w:r>
    </w:p>
    <w:p>
      <w:r>
        <w:rPr>
          <w:b/>
        </w:rPr>
        <w:t>E. 1.1</w:t>
      </w:r>
    </w:p>
    <w:p>
      <w:r>
        <w:t>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t>- 4/8 - PS/49/2024 À Genève, l'autorité de recours au sens de l'art. 59 al. 1 let. c CPP est la chambre pénale de recours (CPR ; art. 127 et 128 LOJ) et la juridiction d'appel est la chambre la Chambre pénale d'appel et de révision (CPAR ; art. 129 et 130 LOJ).</w:t>
      </w:r>
    </w:p>
    <w:p>
      <w:r>
        <w:rPr>
          <w:b/>
        </w:rPr>
        <w:t>E. 1.2</w:t>
      </w:r>
    </w:p>
    <w:p>
      <w:r>
        <w:t>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1.3</w:t>
      </w:r>
    </w:p>
    <w:p>
      <w:r>
        <w:t>En l'occurrence, les juges B______, C______, E______ et D______ font partie de la CPR, de sorte que la CPAR est la juridiction compétente pour statuer sur la demande de récusation formulée à leur encontre. Les demandes de récusation ayant été formulées moins de six jours après la réception des courriers des 25 juin 2024 et 3 juillet 2024, par lesquels la CPR a sollicité la fourniture de sûretés, celles-ci sont recevables à la forme.</w:t>
      </w:r>
    </w:p>
    <w:p>
      <w:r>
        <w:rPr>
          <w:b/>
        </w:rPr>
        <w:t>E. 2.1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w:t>
      </w:r>
    </w:p>
    <w:p>
      <w:r>
        <w:rPr>
          <w:b/>
        </w:rPr>
        <w:t>E. 2.2</w:t>
      </w:r>
    </w:p>
    <w:p>
      <w:r>
        <w:t>Comme le prévoit le texte de l'art. 58 al. 1 in fine, la partie qui demande la récusation doit rendre plausibles les faits sur lesquels elle fonde sa demande. Les faits concrets doivent être exposés, de simples affirmations ou opinions, de même que des motifs vagues et globaux, sont insuffisants. Bien que la simple vraisemblance suffise, elle doit résulter d'une impression objective. L'autorité doit ensuite instruire les faits d'office (M. NIGGLI / M. HEER / H. WIPRÄCHTIGER (éds), Basler Kommentar StPO/JStPO, 3ème éd., Bâle 2023, n. 4 ad art. 58 et les références citées). Il s'agit d'une double tâche qui incombe au requérant : 1° présenter des faits précis en lien avec la procédure déterminée ; 2° les rendre vraisemblables : le contexte présenté doit rendre plausibles les faits décrits (en lien avec la récusation selon la LTF : F. AUBRY GIRARDIN / Y. DONZALLAZ / C. DENYS / G. BOVEY / J.-M. FRÉSARD, Commentaire de la LTF, 3ème éd., Berne 2022, n. 16 ad art. 36).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Il est exclu que la partie suscite un motif de récusation par son propre comportement notamment en provoquant le juge ou en le dénonçant pénalement ou disciplinairement (M. NIGGLI / M. HEER / H. WIPRÄCHTIGER (éds), op. cit., n. 41 ad art. 56 et les références citées). La jurisprudence n'admet que restrictivement un cas de récusation lorsqu'un magistrat est pris à partie, pénalement ou non.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du Tribunal fédéral 1B_368/2021 du 22 septembre 2021 consid. 2.1 ; 1B_137/2021 du 15 avril 2021 consid. 2.2 et les arrêts cités ; voir aussi ATF 134 I 20 consid. 4.3.2).</w:t>
      </w:r>
    </w:p>
    <w:p>
      <w:r>
        <w:rPr>
          <w:b/>
        </w:rPr>
        <w:t>E. 2.3</w:t>
      </w:r>
    </w:p>
    <w:p>
      <w:r>
        <w:t>En l'occurrence, le requérant critique, dans ses trois demandes, le fait que la CPR a exigé la fourniture de sûretés pour entrer en matière sur le recours déposé par ses soins contre une ordonnance de non-entrée en matière rendue par le Ministère public. Or, comme il le relève lui-même, la CPR n'a, ce faisant, fait qu'appliquer l'art. 383 al. 1 CPP, disposition prévoyant expressément la possibilité d'astreindre la partie</w:t>
      </w:r>
    </w:p>
    <w:p>
      <w:r>
        <w:t>- 6/8 - PS/49/2024 plaignante à la fourniture de sûretés, en usant de la marge de manœuvre qui lui est conférée par la loi. Cette demande pouvait être contestée par les voies de droit à sa disposition. Le requérant l'a du reste très bien compris puisque, dans ses courriers, il sollicite également l'application de l'art. 136 CPP, le bénéfice de l'assistance judiciaire comprenant l'exonération d'avances de frais et de sûretés. Dès lors, l'on ne saurait voir dans le comportement consistant à solliciter le versement de sûretés une quelconque apparence de prévention des magistrats de la CPR. Pour le surplus, dans son courrier adressé à la CPR dans le cadre de la procédure P/1______/2024, le requérant, au-delà de la simple émission de critiques, très vives, à l'égard des magistrats de la CPR – et du Procureur –, n'étaye et ne documente aucunement ses allégations. En particulier, s'agissant des "plaintes pénales et administratives" auxquelles il fait référence, dont il n'a fourni aucune copie, il ne rend nullement vraisemblable qu'elles auraient débouché sur une condamnation, respectivement une sanction administrative, à l'égard des magistrats visés dans ses demandes de récusation. Il en découle qu'aucune prévention des magistrats cités n'est rendue plausible. Ainsi, la requête de récusation doit être rejetée, dans la mesure de sa recevabilité. 3. Le requérant, qui succombe, supportera les frais de la procédure envers l'Etat (art. 59 al. 4 CPP et 14 al. 1 let. b du Règlement fixant le tarif des frais en matière pénale du 22 décembre 2010 [RTFMP - E 4 10.03]).</w:t>
      </w:r>
    </w:p>
    <w:p>
      <w:r>
        <w:t>*****</w:t>
      </w:r>
    </w:p>
    <w:p>
      <w:r>
        <w:t>- 7/8 - PS/49/2024</w:t>
      </w:r>
    </w:p>
    <w:p>
      <w:r>
        <w:rPr>
          <w:b/>
        </w:rPr>
        <w:t>E. 6</w:t>
      </w:r>
    </w:p>
    <w:p>
      <w:r>
        <w:t>par. 1 CEDH (ATF 143 IV 69 consid. 3.2), respectivement concrétise les droits déduits de l'art. 29 al. 1 Cst. lorsque d'autres autorités ou organes (cf. en particulier art. 12 CPP) que des tribunaux (cf. art. 13 CPP)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arrêt du Tribunal fédéral 1B_98/2019 du 25 avril 2019 consid. 3). L'impartialité subjective d'un magistrat se présume jusqu'à preuve du contraire (CourEDH Lindon, § 76 ; ATF 136 III 605 consid. 3.2.1 ; arrêt du Tribunal fédéral</w:t>
      </w:r>
    </w:p>
    <w:p>
      <w:r>
        <w:t>- 5/8 - PS/49/2024 6B_621/2011 du 19 décembre 2011 ; N. SCHMID, Schweizerische Strafprozessordnung, 2009, n. 14 ad art.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