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AARP/242/2015 vom 18. Mai 2015</w:t>
      </w:r>
    </w:p>
    <w:p>
      <w:r>
        <w:t>GE Cour de justice, 2015-05-18, FR</w:t>
      </w:r>
    </w:p>
    <w:p>
      <w:r>
        <w:rPr>
          <w:b/>
        </w:rPr>
        <w:t xml:space="preserve">Quelle: </w:t>
      </w:r>
      <w:r>
        <w:t>https://mcp.opencaselaw.ch/entscheid/ge_gerichte_AARP_242_2015</w:t>
      </w:r>
    </w:p>
    <w:p>
      <w:r>
        <w:t>FR: GE_GERICHTE AARP/242/2015 du 18 mai 2015</w:t>
      </w:r>
    </w:p>
    <w:p>
      <w:r>
        <w:t>IT: GE_GERICHTE AARP/242/2015 del 18 maggio 2015</w:t>
      </w:r>
    </w:p>
    <w:p>
      <w:pPr>
        <w:pStyle w:val="Heading2"/>
      </w:pPr>
      <w:r>
        <w:t>Erwägungen</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Le juge peut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w:t>
      </w:r>
    </w:p>
    <w:p>
      <w:r>
        <w:t>- 26/36 - P/7948/2012</w:t>
      </w:r>
    </w:p>
    <w:p>
      <w:r>
        <w:rPr>
          <w:b/>
        </w:rPr>
        <w:t>E. 4.4</w:t>
      </w:r>
    </w:p>
    <w:p>
      <w:r>
        <w:t>Dans l'exercice de son pouvoir d'appréciation, le juge doit respecter, en particulier, le principe d'égalité de traitement (art. 8 al. 1 Cst.).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w:t>
      </w:r>
    </w:p>
    <w:p>
      <w:r>
        <w:rPr>
          <w:b/>
        </w:rPr>
        <w:t>E. 4.5</w:t>
      </w:r>
    </w:p>
    <w:p>
      <w:r>
        <w:t>En l'espèce, la faute de l'appelant est très grave. Il s'en est pris à l'intégrité physique d'autrui avec la plus grande lâcheté, sans aucune raison. Le caractère odieux de son comportement et de celui de ses comparses a déjà été souligné. Par chance, l'infraction est restée au stade de la tentative. La victime garde toutefois des séquelles physiques visibles et durables. La situation personnelle précaire de l'appelant, qu'il doit à lui-même vu son mépris de la législation en vigueur en matière de droit des étrangers, n'explique en rien ses fréquentations et sa violence gratuite. Sa stabilité affective et ses futures responsabilités de père auraient dû l'inciter à d'autres comportements. La collaboration de l'appelant à la procédure a été mauvaise. Il ne s'est jamais manifesté au cours de l'enquête et, une fois arrêté, s'est retranché derrière des déclarations invraisemblables. Sa prise de conscience est nulle. Il n'éprouve aucune empathie pour la victime et use sans sourciller du terme "bagarre" pour évoquer ce qui était une mise à mort programmée. Il y a concours avec la violation de la LEtr, ce qui entraîne une aggravation de la peine. L'appelant n'a pas d'antécédents, ce qui est toutefois en principe neutre sur la fixation de la peine (ATF 136 IV 1).</w:t>
      </w:r>
    </w:p>
    <w:p>
      <w:r>
        <w:t>- 27/36 - P/7948/2012 La peine de six ans arrêtée par les premiers juges tient adéquatement compte de l'ensemble de ces éléments, de la faute de l'appelant et de ses circonstances personnelles. Individualisée, elle reste proportionnée à celle infligée aux coauteurs de la tentative d'assassinat commise au préjudice de B______. Le jugement entrepris sera en conséquence confirmé sur ce point.</w:t>
      </w:r>
    </w:p>
    <w:p>
      <w:r>
        <w:rPr>
          <w:b/>
        </w:rPr>
        <w:t>E. 5.1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le prévoit aussi (art. 18 al. 2 Cst./GE) et précise que la dignité humaine est inviolable (art. 14 al. 1 Cst./GE). En matière de procédure pénale, l’art. 3 CPP pose également le principe du respect de la dignité, à l’instar de l’art. 7 Cst.</w:t>
      </w:r>
    </w:p>
    <w:p>
      <w:r>
        <w:rPr>
          <w:b/>
        </w:rPr>
        <w:t>E. 5.2</w:t>
      </w:r>
    </w:p>
    <w:p>
      <w:r>
        <w:t>Le prévenu qui estime avoir subi, dans le cadre de sa détention avant jugement, un traitement prohibé par l'art. 3 CEDH dispose d'un droit à ce que les agissements dénoncés fassent l'objet d'une enquête prompte et impartiale (ATF 139 IV 41 consid. 3.1 p. 43 ; 138 IV 86 consid. 3.1.1 p. 88)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(ATF 140 I 125 consid. 2.1 p. 128), soit déjà saisi du litige ou en passe de l'être. 5.3.1. Dans différents arrêts datés du 26 février 2014, le Tribunal fédéral a posé le principe de la limite au-delà laquelle il fallait admettre que les conditions de détention à la prison de Champ-Dollon étaient indignes, et partant qu'elles ouvraient le droit à réparation. Selon le Tribunal fédéral,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w:t>
      </w:r>
    </w:p>
    <w:p>
      <w:r>
        <w:t>- 28/36 - P/7948/2012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(ATF 140 I 125 consid. 3.6.3 p. 139). Pour le Tribunal fédéral et par rapport au cas qui lui était soumis,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 Dans un autre arrêt du même jour, le Tribunal fédéral a abouti à une conclusion identique pour un détenu qui avait passé 89 jours consécutifs dans les mêmes conditions de détention dans une cellule dont la surface à disposition était également de 3,83 m2 (arrêt 1B_335/2013 du 26 février 2014 consid. 3.6.3). 5.3.2. Le Tribunal fédéral n'a pas précisé si le standard de 4 m2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"cas de surpopulation carcérale telle que la connaît la prison de Champ-Dollon, l'occupation d'une cellule dite individuelle par trois détenus – chacun disposant d'un espace individuel de 4 m2 restreint du mobilier – est une condition difficile, mais non constitutive d'une violation de l'art. 3 CEDH" (ATF 140 I 125 consid. 3.6.3 p. 139). 5.3.3. De manière générale, pour enfreindre l'art. 3 CEDH, les conditions matérielles de détention doivent atteindre un niveau d'humiliation ou d'avilissement supérieur à ce qu'emporte habituellement la privation de liberté. L'Etat doit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w:t>
      </w:r>
    </w:p>
    <w:p>
      <w:r>
        <w:t>- 29/36 - P/7948/2012 toutefois pas à conclure à une violation de l'art. 3 CEDH (ATF 140 I 246 consid. 2.4.1 p. 249 ; 140 I 125 consid. 3.5 p. 135 s).</w:t>
      </w:r>
    </w:p>
    <w:p>
      <w:r>
        <w:rPr>
          <w:b/>
        </w:rPr>
        <w:t>E. 5.4</w:t>
      </w:r>
    </w:p>
    <w:p>
      <w:r>
        <w:t>Lorsqu'une irrégularité constitutive d'une violation d'une garantie conventionnelle ou constitutionnelle a entaché la procédure relative à la détention provisoire, celle-ci peut être réparée par une décision de constatation (ATF 140 I 246 consid. 2.5.1 p. 250 ; 138 IV 81 consid. 2.4 p. 85). Ce n'est qu'à l'issue de la procédure qu'il y aura lieu de tirer les conséquences d'une telle constatation (cf. les art. 429 ss CPP). Il appartient à l'autorité de jugement d'examiner les possibles conséquences des violations constatées, par exemple par le biais d'une indemnisation ou, cas échéant, par une réduction de la peine (ATF 140 I 246 consid. 2.5.1 p. 250 ; 140 I 125 consid. 2.1 p. 128 ; 139 IV 41 consid. 3.4 p. 45 ; arrêt du Tribunal fédéral 1B_384/2014 du 17 décembre 2014 consid. 2.1). Au vu de la gravité inhérente à toute violation de l'art. 3 CEDH, un simple constat de violation par le juge du fond n'est en principe pas suffisant (ATF 140 I 246 consid. 2.5. p. 251). 5.5.1. En l'espèce, la régularité des conditions de détention de l'appelant a déjà été examinée dans l'ordonnance du TMC pour la période du 18 janvier 2013 au 6 octobre 2014, dont la CPR a confirmé la teneur. L'appelant argue que la CPR aurait dû apprécier différemment l'irrégularité de sa détention, soit sans tenir compte d'interruptions dans son séjour dans une cellule à six détenus. La voie du recours en matière pénale devant le Tribunal fédéral lui était ouverte pour faire valoir son grief, la CPAR n'étant pas compétente pour contrôler le bien-fondé des décisions de la CPR. Dans le prolongement de son argument, l'appelant estime que la CPAR doit considérer que l'ensemble de sa détention, soit du 18 janvier 2013 à mars 2015, s'est déroulée dans des conditions contraires à l'art. 3 CEDH. A nouveau, la CPAR ne saurait réapprécier ce qui l'a déjà été par une instance dont elle n'est pas habilitée à revoir les décisions. Seules les périodes non encore examinées, soit du 7 octobre 2014 au 19 mars 2015, relèvent dès lors de sa compétence. Alors que le prononcé du jugement du Tribunal correctionnel était imminent, ouvrant la voie de l'appel, l'appelant a saisi la CPR d'un recours contre l'ordonnance du TMC du 6 octobre 2014, renonçant par là-même à solliciter du juge du fond qu'il déduise les conséquences du constat d'illicéité retenu. L'arrêt de la CPR du 10 mars 2015, du reste non définitif au moment du prononcé du présent arrêt, n'a par ailleurs pas été porté à la connaissance de la CPAR par le conseil de l'appelant et aucune conclusion tendant à ce que la juridiction d'appel se prononce sur une éventuelle réparation autre que le constat d'illicéité n'a été prise.</w:t>
      </w:r>
    </w:p>
    <w:p>
      <w:r>
        <w:t>- 30/36 - P/7948/2012 Au vu de ce qui précède, la CPAR n'a pas au moment du prononcé de son arrêt à se déterminer sur les conséquences des violations constatées dans l'ordonnance du TMC du 6 octobre 2014. 5.5.2. A teneur des rapports fournis, l'appelant a continué à séjourner dans une cellule de type C3 occupée par six détenus du 7 octobre 2014 au 8 décembre 2014, ajoutant 62 jours aux 329 jours déjà passés dans ce type de cellule avec cinq codétenus. Selon les indications dont dispose la CPAR, à l'évidence différentes de celles connues du TMC et de la CPR au moment de leurs décisions, l'espace individuel net à disposition, soit une fois les sanitaires déduits, des détenus séjournant à six dans une cellule de type C3 est de 3,99 m2. Un tel espace demeure très proche du standard de 4 m2 préconisé dans la jurisprudence et ne saurait être considéré comme contraire à la dignité humaine, étant encore précisé que le Tribunal fédéral estime qu'un espace de 4 m2 demeure acceptable même avec le mobilier inclus. A considérer qu'il faille retenir que l'appelant disposait de 3,83 m2 dans cette cellule de type C3 comme indiqué dans l'arrêt de la CPR du 10 mars 2015, ses conditions de détention pour la période qui occupe la CPAR n'en deviendraient pas pour autant illicites. En effet, l'appelant n'était pas confiné 23h/24h dans sa cellule, puisqu'il travaillait comme nettoyeur de tables à l'époque visée – emploi qu'il aurait pu occuper plus tôt s'il n'avait pas attendu presque une année pour formuler sa demande. Il bénéficiait également de deux visites de sa famille par semaine, soit plus que le minimum garanti, ainsi que de la promenade d'une heure applicable à tous les détenus excepté en cas de placement en cellule forte. Au vu de l'ensemble de ces circonstances, les conditions de détention de l'appelant ne s'apparentaient pas à un traitement dégradant ou humiliant. La suite du séjour de l'appelant a pleinement respecté les exigences légales, soit sous l'angle de l'espace à disposition, soit du point de vue des périodes considérées. Les autres conditions de détention de l'appelant, en termes d'hygiène, d'aération ou d'accès à l'eau ont déjà été examinées par la CPR (consid. 2.8 de l'arrêt du 10 mars 2015), qui les a jugées convenables, en se fondant sur les résultats du rapport de la Commission nationale de la prévention de la torture du 12 février 2013. De même, l'accès aux soins de l'appelant et l'impact de la détention sur sa santé ont déjà été analysés (consid. 2.9 de l'arrêt de la CPR du 10 mars 2015). Aucune violation n'a été constatée. Il suffit ici de souligner que l'épais dossier médical versé à la procédure à l'audience d'appel démontre a contrario le sérieux du suivi médical de l'appelant, ce qui est notamment relevé dans un des certificats médicaux, daté du 5 janvier 2015, tant pour ses troubles physiques que psychiques.</w:t>
      </w:r>
    </w:p>
    <w:p>
      <w:r>
        <w:t>- 31/36 - P/7948/2012 Il découle de l'ensemble des éléments qui précèdent que l'appelant n'a pas été détenu dans des conditions contraires à la dignité humaine depuis le 6 octobre 2014.</w:t>
      </w:r>
    </w:p>
    <w:p>
      <w:r>
        <w:rPr>
          <w:b/>
        </w:rPr>
        <w:t>E. 6.1</w:t>
      </w:r>
    </w:p>
    <w:p>
      <w:r>
        <w:t>Selon l’art. 1 al. 3 de la loi sur l’organisation et le personnel de la prison du 21 juin 1984 (LOPP ; F 1 50), le Conseil d’Etat fixe, par règlement, le régime intérieur de la prison et le statut des personnes incarcérées. Sur cette base, il a édicté le règlement sur le régime intérieur de la prison et le statut des personnes incarcérées du 30 septembre 1985 (RRIP ; RS F 1 50.04), qui prévoit d’une manière générale que les détenus doivent observer les dispositions de ce règlement, les instructions du directeur de l’office pénitentiaire, les ordres du directeur et des fonctionnaires de la prison (art. 42 RRIP). En tout temps, la direction peut ordonner des fouilles corporelles et une inspection des locaux (art. 46 RRIP).</w:t>
      </w:r>
    </w:p>
    <w:p>
      <w:r>
        <w:rPr>
          <w:b/>
        </w:rPr>
        <w:t>E. 6.2</w:t>
      </w:r>
    </w:p>
    <w:p>
      <w:r>
        <w:t>En tant que les fouilles relèvent de l’organisation interne de l’établissement de détention et de l’application du RRIP, le détenu peut demander à ce qu'une décision formelle de la direction de la prison soit prise (cf. art. 4A de la loi sur la procédure administrative du 12 septembre 1985 - LPA ; E 5 10), laquelle peut être contestée devant la juridiction administrative compétente.</w:t>
      </w:r>
    </w:p>
    <w:p>
      <w:r>
        <w:rPr>
          <w:b/>
        </w:rPr>
        <w:t>E. 6.3</w:t>
      </w:r>
    </w:p>
    <w:p>
      <w:r>
        <w:t>Comme le conseil de l'appelant semble déjà le savoir vu les procédures engagées par devant la Chambre administrative de la Cour de justice, la question de la légalité des fouilles subies par son mandant ne relève pas de la compétence de la CPAR. A supposer qu'il fût recevable, son grief relatif au caractère dégradant des fouilles à subies serait infondé. Les fouilles systématiques avant et après chaque visite à la prison de Champ-Dollon trouvent en effet leur justification dans les impératifs objectifs de sécurité liés aux infrastructures à disposition (parloir ouvert). Elles sont, de manière générale, conformes aux exigences découlant de la jurisprudence de la CourEDH en la matière (arrêt du Tribunal fédéral 6B_14/2014 du 7 avril 2015 destiné à la publication, consid. 6.5). Dans la mesure où les fouilles contestées par l'appelant ne révèlent rien de particulier, il n'y a pas lieu de s'écarter de ce constat en l'espèce.</w:t>
      </w:r>
    </w:p>
    <w:p>
      <w:r>
        <w:rPr>
          <w:b/>
        </w:rPr>
        <w:t>E. 7</w:t>
      </w:r>
    </w:p>
    <w:p>
      <w:r>
        <w:t>7.1.1.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w:t>
      </w:r>
    </w:p>
    <w:p>
      <w:r>
        <w:t>- 32/36 - P/7948/2012 patrimoniales insaisissables selon les art. 92 à 94 de la loi fédérale du 11 avril 1889 sur la poursuite pour dettes et la faillite (LP ; RS 281.1) sont exclues du séquestre.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(arrêts du Tribunal fédéral 1B_136/2014 du 14 mai 2014 consid. 2.1 et 1B_274/2012 du 11 juillet 2012 consid. 3.1). 7.1.2. Aux termes de l'art. 442 al. 4 CPP, les autorités pénales peuvent compenser les créances portant sur des frais de procédure avec les indemnités accordées à la partie débitrice dans la même procédure et avec des valeurs séquestrées.</w:t>
      </w:r>
    </w:p>
    <w:p>
      <w:r>
        <w:rPr>
          <w:b/>
        </w:rPr>
        <w:t>E. 7.2</w:t>
      </w:r>
    </w:p>
    <w:p>
      <w:r>
        <w:t>En l'espèce, la CPAR doute de l'origine licite des CHF 1'290.- retrouvés sur l'appelant au moment de son arrestation, celui-ci n'ayant pas d'emploi et les explications données au sujet de cet argent, que cela soit par l'appelant ou par sa compagne, du reste dans des versions qui ne concordent pas et ont évolué au cours de la procédure, n'emportant aucunement conviction au vu notamment des moyens financiers restreints de AB______ et de l'absence de bulletins de versement retrouvés sur l'appelant. L'origine douteuse de ces fonds permet d'exclure qu'il s'agisse de valeurs patrimoniales insaisissables selon les art. 92 à 94 LP, de sorte que c'est à juste titre que les premiers juges ont ordonné la compensation des frais de la procédure avec le montant séquestré. Au vu de ce qui précède, le jugement entrepris doit être confirmé sur ce point.</w:t>
      </w:r>
    </w:p>
    <w:p>
      <w:r>
        <w:rPr>
          <w:b/>
        </w:rPr>
        <w:t>E. 8</w:t>
      </w:r>
    </w:p>
    <w:p>
      <w:r>
        <w:t>L'appelant, qui succombe, supportera les frais de la procédure envers l'Etat, qui comprennent un émolument de décision de CHF 3'000.- (art. 428 CPP et art. 14 du règlement fixant le tarif des frais en matière pénale du 22 décembre 2010 [RFTMP ; RS E 4 10.03]).</w:t>
      </w:r>
    </w:p>
    <w:p>
      <w:r>
        <w:rPr>
          <w:b/>
        </w:rPr>
        <w:t>E. 9</w:t>
      </w:r>
    </w:p>
    <w:p>
      <w:r>
        <w:t>9.1.1.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w:t>
      </w:r>
    </w:p>
    <w:p>
      <w:r>
        <w:rPr>
          <w:b/>
        </w:rPr>
        <w:t>E. 9.2</w:t>
      </w:r>
    </w:p>
    <w:p>
      <w:r>
        <w:t>Ne sont pas considérées comme nécessaires dans l'état de frais présenté par Me X______ les activités suivantes : - trois des entretiens d'1h30 à la prison de Champ-Dollon sur les quatre entretiens du mois de mars 2015, étant précisé que l'entretien en présence de l'IGS ne relève pas de la présente procédure, que celui agendé après l'audience d'appel dépasse le cadre de la procédure d'appel dont l'échéance correspond à la date de l'arrêt de la CPAR et qu'une visite par mois est en principe admise, - 3h10 consacrées à la réception et analyse de l'arrêt sur demande de mise en liberté, des arrêts du Tribunal fédéral concernant d'autres parties et de l'arrêt de la CPR du 10 mars 2015, ces activités ne relevant pas directement de la présente cause et/ou étant comprises dans le forfait courriers et téléphones, - 1h10 consacrée à l'analyse du dossier carcéral complet, Me X______ en ayant déjà une connaissance approfondie vu les procédures engagées, - huit heures sur les 12 heures dédiées à l'analyse du dossier médical complet et la confection du chargé de pièces complémentaire relatif à ce dossier et cinq heures sur les dix heures de préparation à l'audience d'appel, le temps annoncé paraissant excessif vu l'expérience et la connaissance du dossier par Me X______,</w:t>
      </w:r>
    </w:p>
    <w:p>
      <w:r>
        <w:t>- 34/36 - P/7948/2012 - les deux heures d'audition par l'IGS, celles-ci ne relevant pas de la présente procédure. L'activité exercée par Me X______ est pour le surplus en adéquation avec la nature, l'importance et la difficulté de la cause. Par conséquent, son état de frais sera admis, après les déductions qui précèdent et une fois le temps d'audience d'appel ajusté (4h45), à concurrence de 22h15 d'activité à CHF 200.-. L'indemnisation sera dès lors accordée à hauteur de CHF 5'286.60, forfait courriers et téléphones de 10% [CHF 445.-] attendu que l'ampleur de l'affaire a dû exiger plus de trente heures d'activité en première instance, et TVA [CHF 391.60] inclus. * * * * *</w:t>
      </w:r>
    </w:p>
    <w:p>
      <w:r>
        <w:t>- 35/36 - P/7948/2012</w:t>
      </w:r>
    </w:p>
    <w:p>
      <w:r>
        <w:rPr>
          <w:b/>
        </w:rPr>
        <w:t>E. 14</w:t>
      </w:r>
    </w:p>
    <w:p>
      <w:r>
        <w:t>novembre 2014.</w:t>
      </w:r>
    </w:p>
    <w:p>
      <w:r>
        <w:t>- 33/36 - P/7948/2012 9.1.2. 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Jusqu'à présent, la CPAR s'est inspirée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