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AARP/240/2023 vom 4. Juli 2023</w:t>
      </w:r>
    </w:p>
    <w:p>
      <w:r>
        <w:t>GE Cour de justice, 2023-07-04, FR</w:t>
      </w:r>
    </w:p>
    <w:p>
      <w:r>
        <w:rPr>
          <w:b/>
        </w:rPr>
        <w:t xml:space="preserve">Quelle: </w:t>
      </w:r>
      <w:r>
        <w:t>https://mcp.opencaselaw.ch/entscheid/ge_gerichte_AARP_240_2023</w:t>
      </w:r>
    </w:p>
    <w:p>
      <w:r>
        <w:t>FR: GE_GERICHTE AARP/240/2023 du 4 juillet 2023</w:t>
      </w:r>
    </w:p>
    <w:p>
      <w:r>
        <w:t>IT: GE_GERICHTE AARP/240/2023 del 4 luglio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rPr>
          <w:b/>
        </w:rPr>
        <w:t>E. 2.2</w:t>
      </w:r>
    </w:p>
    <w:p>
      <w:r>
        <w:t>Le principe in dubio pro reo, qui découle de la présomption d'innocence, garantie par l'art. 6 ch. 2 de la Convention de sauvegarde des droits de l'homme (CEDH) et, sur le plan interne, par les art. 32 al. 1 de la Constitution fédérale (Cst.) et 10 al. 3 CPP, concerne tant le fardeau de la preuve que l'appréciation des preuves au sens large (ATF 144 IV 345 consid. 2.2.3.1 ; ATF 127 I 28 consid. 2a).</w:t>
      </w:r>
    </w:p>
    <w:p>
      <w:r>
        <w:t>- 6/17 - P/14120/2022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2.3</w:t>
      </w:r>
    </w:p>
    <w:p>
      <w:r>
        <w:t>Une plainte est valable selon l'art. 30 CP si l'ayant droit, avant l'échéance d'un délai de trois mois depuis que l'auteur de l'infraction lui est connu (art. 31 CP), manifeste sa volonté inconditionnelle que l'auteur de l'infraction soit poursuivi et que la procédure pénale se poursuive sans autre déclaration de sa volonté (ATF 141 IV 380 consid. 2.3.4 p. 387 ; 131 IV 97 consid. 3.1 p. 98), dans les formes et auprès des autorités compétentes selon l'art. 304 al. 1 CPP (arrêts du Tribunal fédéral 6B_1297/2017 du 26 juillet 2018 consid. 1.1.1 ; 6B_942/2017 du 5 mars 2018 consid. 1.1). À teneur de l'art. 304 al. 1 CPP, la plainte pénale doit être déposée auprès de la police, du ministère public ou de l'autorité pénale compétente en matière de contraventions, par écrit ou oralement ; dans ce dernier cas, elle est consignée au procès-verbal. Pour être valable, la plainte doit exposer le déroulement des faits sur lesquels elle porte, afin que l'autorité pénale sache pour quel état de fait l'ayant droit demande une poursuite pénale. Elle doit contenir un exposé des circonstances concrètes, sans qu'il soit nécessaire qu'elles soient absolument complètes. Ainsi, en cas d'injures par exemple, il n'est pas nécessaire que la plainte reproduise exactement les termes injurieux. En revanche, la qualification juridique des faits incombe aux</w:t>
      </w:r>
    </w:p>
    <w:p>
      <w:r>
        <w:t>- 7/17 - P/14120/2022 autorités de poursuite (ATF 131 IV 97 consid. 3 p. 98 s. ; arrêts du Tribunal fédéral 6B_1297/2017 du 26 juillet 2018 consid. 1.1.1 ; 6B_942/2017 du 5 mars 2018 consid. 1.1 ; 6B_396/2008 du 25 août 2008 consid. 3.3.2). Un formulaire de plainte pénale préétabli, signé par l'ayant droit, portant la seule mention de l'infraction pour laquelle la poursuite est demandée (par exemple: menace) à l'exclusion d'autres indications factuelles relatives aux événements, peut remplir les exigences de contenu. C'est le cas lorsque les organes de police, auprès desquels la plainte est déposée, sont au clair sur l'état de fait pour lequel la poursuite est requise ; notamment parce qu'ils sont intervenus pendant les faits reprochés ou lorsque la cause a été documentée à l'interne (arrêts du Tribunal fédéral 6B_1297/2017 du 26 juillet 2018 consid. 1.1.1 et les références ; 6S.302/2005 du 31 octobre 2005 consid. 4 et 5 = Pra 2006 46 334).</w:t>
      </w:r>
    </w:p>
    <w:p>
      <w:r>
        <w:rPr>
          <w:b/>
        </w:rPr>
        <w:t>E. 2.4</w:t>
      </w:r>
    </w:p>
    <w:p>
      <w:r>
        <w:t>En l’occurrence, l’appelant admet avoir pénétré dans le commerce cambriolé le soir des faits, mais nie toute implication dans le vol et l’effraction de la porte.</w:t>
      </w:r>
    </w:p>
    <w:p>
      <w:r>
        <w:rPr>
          <w:b/>
        </w:rPr>
        <w:t>E. 2.4.1</w:t>
      </w:r>
    </w:p>
    <w:p>
      <w:r>
        <w:t>En ce qui concerne l’effraction, la plainte ne comporte aucune croix dans la rubrique « dommages à la propriété ». Dans la mesure où il appartient à l’autorité pénale de caractériser les faits dénoncés, cette absence n’a, en principe, pas de portée. Il ressort toutefois de la mention manuscrite apposée à côté de la rubrique « violation de domicile » qu’un policier s’est enquis auprès de la plaignante de la portée de sa plainte, et n’a complété que cette dernière rubrique et non la précédente ; ce même policier n’a pas non plus évoqué d’infraction à l’art. 144 CP dans un rapport ultérieur, et la plaignante ne chiffre aucun dégât. Dans ces circonstances, il faut retenir, au bénéfice du doute, l’absence de dommage lié à l’introduction du / des voleur(s) dans le commerce et donc qu’il n’y a pas eu d’infraction à l’art. 144 CP. L’absence de plainte constitue un empêchement de procéder qui conduira au prononcé d’un classement.</w:t>
      </w:r>
    </w:p>
    <w:p>
      <w:r>
        <w:rPr>
          <w:b/>
        </w:rPr>
        <w:t>E. 2.4.2</w:t>
      </w:r>
    </w:p>
    <w:p>
      <w:r>
        <w:t>Si réellement, comme l’a déclaré l’appelant, il cherchait le soir des faits un local poubelles pour y dormir, rien ne justifiait qu’il s’introduisit dans un commerce. Si on peut concevoir qu’il eut laissé choir un mouchoir usagé dans sa recherche d’un lieu pour la nuit, la manipulation d’une raquette de badminton démontre que l’appelant a procédé à une fouille, comme le ferait un cambrioleur. Par ailleurs, le quartier où se situe le commerce (rue 1______) est éloigné des lieux notoirement connus pour le trafic de stupéfiants (gare, Pâquis, Usine) ; il ne se trouve pas non plus sur le trajet entre ces lieux et la ville de G______ où l’appelant dit avoir vécu à l’époque des faits. Il n’y a par ailleurs aucun logement d’urgence à proximité. Il n’y a ainsi aucune explication cohérente à la présence de l’appelant dans le quartier sur la base de ses explications. L’appelant a déjà été condamné par le passé pour des faits de cambriolage, ce qui démontre sa disposition à commettre de tels actes. S’il est certes théoriquement possible qu’il fut arrivé dans les locaux après le départ d’un</w:t>
      </w:r>
    </w:p>
    <w:p>
      <w:r>
        <w:t>- 8/17 - P/14120/2022 tiers, une telle coïncidence est si improbable qu’elle tient de l’impossible. Ses dénégations de circonstance n’emportent donc pas la conviction de la Cour. La présence de profils ADN de mélange sur différents objets, notamment ceux sur lesquels le profil de l’appelant a été retrouvé, n’entame pas cette conviction. En effet, les objets ont été prélevés dans le salon d’une école de ______, lieu de passage par définition très fréquenté pendant ses heures d’ouverture. Les traces de mélange correspondent ainsi vraisemblablement à des clients, voire à des employés ou, puisqu’il s’agit d’une académie, des apprentis.</w:t>
      </w:r>
    </w:p>
    <w:p>
      <w:r>
        <w:t>Il est ainsi établi, au-delà de tout doute raisonnable, que c’est bien l’appelant qui a commis le vol chez la plaignante. Le verdict de culpabilité du premier juge doit être confirmé sur ce point.</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4.2. Les principes de l'art. 47 CP valent aussi pour le choix entre plusieurs sanctions possibles, et non seulement pour la détermination de la durée de celle qui est</w:t>
      </w:r>
    </w:p>
    <w:p>
      <w:r>
        <w:t>- 9/17 - P/14120/2022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La peine pécuniaire constitue la sanction principale dans le domaine de la petite et moyenne criminalité, les peines privatives de liberté ne devant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 4.3.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L'art. 49 al. 2 CP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w:t>
      </w:r>
    </w:p>
    <w:p>
      <w:r>
        <w:t>- 10/17 - P/14120/2022 La fixation d'une peine d'ensemble n'est pas possible en cas de sanctions de genre différent. Ainsi, une peine privative de liberté ne peut être prononcée comme peine complémentaire d'une sanction pécuniaire (ATF 142 IV 265 consid. 2.3.2 et les références = JdT 2017 IV 129 ; ATF 138 IV 120 consid. 5.2 p. 122 s. ; arrêt du Tribunal fédéral 6B_952/2016, 6B_962/2016 du 29 août 2017 consid. 4.2).</w:t>
      </w:r>
    </w:p>
    <w:p>
      <w:r>
        <w:t>4.4. Si, durant le délai d'épreuve, le détenu libéré conditionnellement commet un crime ou un délit, le juge qui connaît de la nouvelle infraction ordonne sa réintégration dans l'établissement (art. 89 al. 1 CP). Le juge peut renoncer à réintégrer dans l'établissement de détention le détenu libéré conditionnellement ayant commis un nouveau crime ou délit, s'il n'y a pas lieu de craindre que celui-ci commette d'autres infractions (art. 89 al. 2 CP). La commission d'un nouveau crime ou d'un nouveau délit ne constitue qu'un des facteurs à considérer, le pronostic quant à la capacité de l'intéressé à vivre de manière conforme à la loi dans le futur devant à nouveau être établi. Par sa nature même, le pronostic à émettre ne saurait être tout à fait sûr ; il doit suffire de pouvoir raisonnablement conjecturer que le détenu ne commettra pas de nouvelles infractions (arrêt du Tribunal fédéral 6B_1034/2013 du 31 mars 2014 consid. 2.1 ; ATF 98 Ib 106 consid. 1b p. 107).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Dans l'émission du pronostic, le juge dispose d'un large pouvoir d'appréciation (arrêts du Tribunal fédéral 6B_1034/2013 du 31 mars 2014 consid. 2.1, 6B_663/2009 du 19 octobre 2009 consid. 1.2 et 6B_303/2007 du</w:t>
      </w:r>
    </w:p>
    <w:p>
      <w:r>
        <w:rPr>
          <w:b/>
        </w:rPr>
        <w:t>E. 6</w:t>
      </w:r>
    </w:p>
    <w:p>
      <w:r>
        <w:t>décembre 2007 consid. 6). 4.5. A la lumière de la jurisprudence sur la Directive sur le retour (Directive 2008/115/CE relative aux normes et procédures communes applicables dans les États membres au retour des ressortissants de pays tiers en séjour irrégulier), celui qui se rend coupable de rupture de ban au sens de l'art. 291 CP, ne peut être condamné à une peine privative de liberté que si toutes les mesures raisonnables ont été entreprises en vue de l'éloignement, respectivement si celui-ci a échoué en raison du comportement de l'intéressé (ATF 147 IV 232 consid. 1.6 p. 239).</w:t>
      </w:r>
    </w:p>
    <w:p>
      <w:r>
        <w:t>- 11/17 - P/14120/2022 4.6. En l’espèce, le prévenu a commis plusieurs délits passibles d’une peine pécuniaire ou d’une peine privative de liberté de trois ans au plus et un crime passible d’une peine pécuniaire ou d’une peine privative de liberté de cinq ans au plus, ce antérieurement à la condamnation du 29 avril 2022. Il convient dès lors d’examiner s’il y a lieu au prononcé d’une peine complémentaire, ce qui implique de déterminer le type de peine susceptible de sanctionner adéquatement les comportements incriminés. La jurisprudence sur la Directive Retour ne s’applique pas à l’appelant, citoyen français, qui n’est donc pas visé par ce texte qui régit la situation des ressortissants de pays tiers. Au surplus, contrairement à ce qu’a pu plaider son conseil, l’appelant a fait l’objet de mesures de renvoi en France à plusieurs reprises depuis le prononcé de l’expulsion (cf. supra consid. D.a.). La situation personnelle de l’appelant n’est pas favorable ; il n’a aucun revenu régulier. Il fait l’objet d’une décision d’expulsion exécutoire et, toxicomane, n’a aucune perspective de réinsertion lui permettant de réaliser des revenus réguliers. Il est d’ailleurs actuellement détenu, comme il l’a déjà été par le passé, faute d’avoir pu réunir les sommes nécessaires au paiement de peines pécuniaires prononcées à son encontre. Il est ainsi vain d’espérer qu’une nouvelle peine pécuniaire aura la moindre perspective de recouvrement, et ce, quand bien même le MP a prononcé une telle peine à plusieurs reprises à la période des faits, choix qui ne lie pas la CPAR. A cela s’ajoute que les peines pécuniaires et amendes précédemment prononcées à son encontre n’ont eu aucun effet dissuasif, sinon de l’encourager à persévérer dans son irrespect des règles. Dans ces circonstances, le prononcé d’une peine privative de liberté s’impose pour toutes les infractions dont l’appelant s’est rendu coupable. Les conditions du sursis (art. 42 al. 2 CP) ne sont pas remplies, aucun pronostic particulièrement favorable ne pouvant être formulé au vu des multiples récidives. 4.6. Ces considérations commandent mutatis mutandis la révocation de la libération conditionnelle accordée le 17 mai 2021, l’appelant ayant récidivé dans le délai d’épreuve de cette décision. Le fait que le TAPEM a considéré, en octobre 2022, qu’il pouvait mettre l’appelant au bénéfice d’un pronostic favorable n’est pas pertinent, dans la mesure où les conditions présidant à l’octroi d’une libération conditionnelle sont différentes de celles conduisant à la révocation de cette décision. Les conditions d’une révocation de la libération conditionnelle accordée le 24 octobre 2022 ne sont en revanche pas remplies, ni d’ailleurs d’une prolongation de ce délai d’épreuve. En effet, d’une part, l’appelant n’a jamais été mis au bénéfice de cette décision, puisqu’il a été incarcéré pour les faits de la présente cause avant sa remise en liberté. D’autre part, lesdits faits sont antérieurs à cette décision. Enfin, une</w:t>
      </w:r>
    </w:p>
    <w:p>
      <w:r>
        <w:t>- 12/17 - P/14120/2022 partie des peines visées par cette décision est sujette à une prochaine prescription (cf. AARP/148/2022). 4.7. La faute de l'appelant est importante et dénote un mépris caractérisé des décisions de l’autorité et du bien d’autrui. Il a agi par facilité et par convenance personnelle, sans doute aussi sous l’influence de sa toxicomanie et de sa recherche de produits pour y satisfaire. Il n’en demeure pas moins qu’il aurait pu et dû s’abstenir de revenir à Genève, ce d’autant qu’il s’y est en l’occurrence rendu pour commettre un cambriolage afin de subvenir de la sorte à ses besoins. Sa situation personnelle est obérée et difficile. Néanmoins, étant citoyen français, il pouvait et devait entreprendre dans son pays les démarches pour bénéficier d’une assistance socio-médicale plutôt que de recourir par facilité à des infractions en Suisse, ce d’autant plus qu’il était déjà sous le coup d’une mesure d’expulsion. Quand bien même il n’y a pas lieu au prononcé d’une peine complémentaire, il sera tenu compte dans un sens atténuant, par souci d’équité, des ordonnances pénales de 2022 condamnant l’appelant à des peines pécuniaires pour rupture de ban. L’infraction objectivement la plus grave est le vol, qui doit être sanctionné d’une peine de base de deux mois, aggravée de 20 jours pour la violation de domicile (peine théorique d’un mois). Cette peine doit encore être aggravée de dix jours (peine théorique de six mois) pour la rupture de ban ainsi que pour tenir compte de la révocation de la libération conditionnelle (78 jours). Dans ces circonstances, la peine d’ensemble sera arrêtée à quatre mois. 5. 5.1. L’appelant est reconnu coupable d’un vol commis avec violation de domicile et est donc passible d’une expulsion obligatoire (art. 66a let. d CP). Ayant agi alors qu’une telle mesure avait encore effet, il est passible d’une nouvelle expulsion pour une durée minimale de 20 ans, voire à vie (art. 66b al. 2 CP).</w:t>
      </w:r>
    </w:p>
    <w:p>
      <w:r>
        <w:t>5.2. L’appelant ne soutient à raison pas qu’il remplirait les conditions de la clause de rigueur. L’expulsion pour une durée de 20 ans prononcée par le premier juge, correspondant à la durée minimale en cas de récidive, sera dès lors confirmée.</w:t>
      </w:r>
    </w:p>
    <w:p>
      <w:r>
        <w:t>5.3. Il n'y a pas lieu d'étendre la mesure d'expulsion à l'ensemble de l'espace Schengen, le prévenu étant ressortissant d'un État membre.</w:t>
      </w:r>
    </w:p>
    <w:p>
      <w:r>
        <w:rPr>
          <w:b/>
        </w:rPr>
        <w:t>E. 6.1</w:t>
      </w:r>
    </w:p>
    <w:p>
      <w:r>
        <w:t>Il y a détention excessive au sens de l’art. 431 al. 2 CPP (Überhaft)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En cas de</w:t>
      </w:r>
    </w:p>
    <w:p>
      <w:r>
        <w:t>- 13/17 - P/14120/2022 détention excessive selon l'art. 431 al. 2 CPP, ce n'est pas la détention en soi, mais seulement la durée de celle-ci qui est injustifiée. La détention ne sera qualifiée d'excessive qu'après le prononcé du jugement (ATF 141 IV 236 consid. 3.2 p. 238 ; arrêt du Tribunal fédéral 6B_343/2015 du 2 février 2016 consid. 1.2.4). Conformément à l'art. 51 CP, l'art. 431 al. 2 CPP pose la règle que la détention excessive est d'abord imputée sur une autre sanction et ne peut donner lieu à une indemnisation que si aucune imputation n'est possible. L'imputation de la détention intervient, en premier lieu, sur les peines privatives de liberté et, en second lieu, sur les autres peines, comme la peine pécuniaire, le travail d'intérêt général et l'amende. La compensation sous la forme de l'indemnisation est subsidiaire. L'intéressé n'a aucun droit de choisir entre l'indemnisation ou l'imputation (ATF 141 IV 236 consid. 3.3 p. 239 ; arrêts du Tribunal fédéral 6B_343/2015 du 2 février 2016 consid. 1.2.4 ; 6B_558/2013 du 13 décembre 2013 consid. 1.5 ; 6B_169/2012 du 25 juin 2012 consid. 6 ; 1B_179/2011 du 17 juin 2011 consid. 4.2).</w:t>
      </w:r>
    </w:p>
    <w:p>
      <w:r>
        <w:rPr>
          <w:b/>
        </w:rPr>
        <w:t>E. 6.2</w:t>
      </w:r>
    </w:p>
    <w:p>
      <w:r>
        <w:t>En l’espèce, l’appelant a subi dans son intégralité, dans le cadre de l’exécution anticipée de peine, la peine privative de liberté de six mois prononcée par le TP et a ainsi subi deux mois de détention excessive. Conformément à l’art. 431 al. 2 CPP, cette détention excessive sera portée en déduction de la peine pécuniaire prononcée par ordonnance pénale du 24 mars 2022. L’appelant sera ainsi débouté de ses conclusions en indemnisation. L’appelant étant actuellement détenu au titre des peines pécuniaires prononcées à son encontre, le présent arrêt sera communiqué au Service d'application des peines et des mesures afin qu’il procède immédiatement à cette imputation.</w:t>
      </w:r>
    </w:p>
    <w:p>
      <w:r>
        <w:rPr>
          <w:b/>
        </w:rPr>
        <w:t>E. 7</w:t>
      </w:r>
    </w:p>
    <w:p>
      <w:r>
        <w:t>L'appelant, qui obtient partiellement gain de cause, supportera la moitié des frais de la procédure envers l'État (art. 428 CPP). Ceux-ci comprendront un émolument de décision réduit, de CHF 300.-, tenant compte de sa situation obérée (art. 425 CPP).</w:t>
      </w:r>
    </w:p>
    <w:p>
      <w:r>
        <w:t>Les frais de la procédure préliminaire et de première instance seront mis à sa charge à raison de la moitié, l’émolument complémentaire de jugement étant laissé à celle de l’état.</w:t>
      </w:r>
    </w:p>
    <w:p>
      <w:r>
        <w:rPr>
          <w:b/>
        </w:rPr>
        <w:t>E. 8.1</w:t>
      </w:r>
    </w:p>
    <w:p>
      <w:r>
        <w:t>Considéré globalement, l'état de frais produit par Me C______, défenseur d'office de A______, satisfait les exigences légales et jurisprudentielles régissant l'assistance judiciaire gratuite en matière pénale ; la durée consacrée à la rédaction de la déclaration d’appel (1h30 d’activité de la stagiaire) sera néanmoins écartée, cet acte de procédure n’ayant pas à être motivé et ressortant à l’activité couverte par la</w:t>
      </w:r>
    </w:p>
    <w:p>
      <w:r>
        <w:t>- 14/17 - P/14120/2022 majoration forfaitaire. Il convient de le compléter de la durée de l'audience et d’une vacation, seule toutefois la présence de l’associé étant indemnisée).</w:t>
      </w:r>
    </w:p>
    <w:p>
      <w:r>
        <w:t>La rémunération de Me C______ sera partant arrêtée à CHF 2'157.25 correspondant à</w:t>
      </w:r>
    </w:p>
    <w:p>
      <w:r>
        <w:rPr>
          <w:b/>
        </w:rPr>
        <w:t>E. 13</w:t>
      </w:r>
    </w:p>
    <w:p>
      <w:r>
        <w:t>heures d'activité au tarif de CHF 110.-/heure, 1h30 d’activité à CHF 200.-/heure plus la majoration forfaitaire de 10%, l’activité totale dépassant 30 heures, une vacation et l'équivalent de la TVA au taux de 7.7% en CHF 154.25. * * * * *</w:t>
      </w:r>
    </w:p>
    <w:p>
      <w:r>
        <w:t>- 15/17 - P/14120/2022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