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AARP/239/2014 vom 14. März 2014</w:t>
      </w:r>
    </w:p>
    <w:p>
      <w:r>
        <w:t>GE Cour de justice, 2014-03-14, FR</w:t>
      </w:r>
    </w:p>
    <w:p>
      <w:r>
        <w:rPr>
          <w:b/>
        </w:rPr>
        <w:t xml:space="preserve">Quelle: </w:t>
      </w:r>
      <w:r>
        <w:t>https://mcp.opencaselaw.ch/entscheid/ge_gerichte_AARP_239_2014</w:t>
      </w:r>
    </w:p>
    <w:p>
      <w:r>
        <w:t>FR: GE_GERICHTE AARP/239/2014 du 14 mars 2014</w:t>
      </w:r>
    </w:p>
    <w:p>
      <w:r>
        <w:t>IT: GE_GERICHTE AARP/239/2014 del 14 marzo 2014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- 9/16 - P/9287/2013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ss). 2.2.1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y a circonstance aggravante lorsque l'auteur agit avec cruauté (art. 189 al. 3 CP).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Les infractions en droit suisse, vol. I, 3e éd., Berne 2010, n. 8 ad art. 189 CP). 2.2.2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w:t>
      </w:r>
    </w:p>
    <w:p>
      <w:r>
        <w:t>- 10/16 - P/9287/2013 voie de fait ; de même une meurtrissure au bras et une douleur à la mâchoire sans contusion (ATF 134 IV 189 consid. 1.3 p. 191 et les référence citées). 2.4.1 En l'espèce, s'agissant de la contrainte sexuelle, c'est à tort que le premier juge a retenu qu'il était impossible de déterminer la connotation et l'intensité des gestes dont s'est plainte l'intimée A______. Celle-ci a en effet déclaré de manière constante que l'appelant joint l'avait entravée dans sa liberté de mouvement, avait léché son visage, touché ses parties intimes par-dessus ses habits alors qu'elle se débattait, le frappant avec ses clés. Les violences subies sont en outre attestées par l'expertise et les photographies qui font état de dermabrasions fraîches au niveau du dos et de l'avant- bras gauche, lesquelles ne peuvent s'expliquer par une éventuelle chute de l'intimée. Les témoins ont, également de manière constante et non équivoque, dit avoir vu que l'homme avait sa main, par-dessus le jeans, sur le sexe de la femme, que celle-ci se débattait et hurlait en demandant de l'aide. Le caractère sexuel et contraignant des gestes de l'appelant joint est ainsi établi, malgré ses contestations peu crédibles. Celui-ci a en effet considérablement varié tant dans sa description de l'aide prétendument apportée à l'intimée que sur les circonstances de son arrestation. Les cris de la victime, relatés par les témoins venus à son secours, sont en outre incompatibles avec les explications données. L'ivresse marquée de la plaignante, dont l'appelant joint essaie de tirer argument, n'est pas pertinente, au regard des déclarations claires susmentionnées. Tout au plus permet-elle d'en expliquer les variations sur des éléments périphériques tels que le déroulement de la soirée, les raisons de sa fuite de l'hôpital ou sa réaction au moment où son internement involontaire a été décidé. Partant, l'appel du Ministère public sera admis, et l'appelant joint reconnu coupable de contrainte sexuelle (la tentative étant absorbée par la commission de l'infraction) et le jugement entrepris réformé en conséquence. 2.4.2 La gifle que dit avoir reçue le témoin B______ n'est pas attestée par les personnes présentes au moment des faits et aucun élément ne permet de relier les rougeurs et le gonflement de la joue constatés par le témoin C______ avec un éventuel coup donné par l'appelant joint. Ce dernier sera dès lors acquitté du chef de voies de fait et le jugement réformé en ce sens.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- 11/16 - P/9287/2013 dans laquelle celui-ci aurait pu éviter la mise en danger ou la lésion, compte tenu de sa situation personnelle et des circonstances extérieures (al. 2). Comme sous l'ancien droit, le facteur essentiel est celui de la faute.</w:t>
      </w:r>
    </w:p>
    <w:p>
      <w:r>
        <w:rPr>
          <w:b/>
        </w:rPr>
        <w:t>E. 3.2</w:t>
      </w:r>
    </w:p>
    <w:p>
      <w:r>
        <w:t>La faute de l'appelant joint est lourde. Par ses actes, il s'en est pris à la libre détermination en matière sexuelle de la partie plaignante, intérêt auquel le législateur accorde une grande importance. Ses mobiles sont particulièrement égoïstes, relevant de la volonté d’assouvir ses pulsions sexuelles, au mépris de la volonté de sa victime. La collaboration à l'enquête a été mauvaise, l'appelant joint n'ayant cessé de se dérober face à ses responsabilités et de nier les faits. Il n'y a aucune prise de conscience ni empathie observables. Ses antécédents judiciaires sont mauvais. L'appelant joint persiste à vouloir résider, sans droit, sur le territoire suisse sans y être contraint et au mépris de l'ordre juridique suisse. Eu égard à l'ensemble des circonstances, le prononcé d'une peine privative de liberté de dix mois est équitable et tient compte de la reconnaissance de culpabilité du chef d'une infraction nettement plus grave que celle retenue par le premier juge et de l'acquittement secondaire du chef de voies de fait.</w:t>
      </w:r>
    </w:p>
    <w:p>
      <w:r>
        <w:rPr>
          <w:b/>
        </w:rPr>
        <w:t>E. 4.1</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4.2</w:t>
      </w:r>
    </w:p>
    <w:p>
      <w:r>
        <w:t>Les antécédents de l'appelant joint sont mauvais, et pour partie spécifiques, ce dernier ayant déjà été condamné pour une infraction à caractère sexuel. Sa situation administrative et personnelle est précaire. Il n'a pas su saisir l'opportunité offerte à l'occasion d'un précédent sursis. Ses projets d'avenir sont flous, l'appelant joint avouant n'avoir pas davantage la possibilité qu'auparavant de régulariser sa situation en quittant le territoire.</w:t>
      </w:r>
    </w:p>
    <w:p>
      <w:r>
        <w:t>- 12/16 - P/9287/2013 Partant, son pronostic futur est manifestement défavorable et le sursis lui sera refusé.</w:t>
      </w:r>
    </w:p>
    <w:p>
      <w:r>
        <w:rPr>
          <w:b/>
        </w:rPr>
        <w:t>E. 5.1</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w:t>
      </w:r>
    </w:p>
    <w:p>
      <w:r>
        <w:rPr>
          <w:b/>
        </w:rPr>
        <w:t>E. 5.2</w:t>
      </w:r>
    </w:p>
    <w:p>
      <w:r>
        <w:t>En l'espèce, et au vu des considérations qui précèdent, il n’y a pas lieu d'entrer en matière sur les conclusions en indemnisation présentées par l'appelant joint, dont la culpabilité a été aggravée.</w:t>
      </w:r>
    </w:p>
    <w:p>
      <w:r>
        <w:rPr>
          <w:b/>
        </w:rPr>
        <w:t>E. 6</w:t>
      </w:r>
    </w:p>
    <w:p>
      <w:r>
        <w:t>Les motifs ayant conduit le premier juge à prononcer, par ordonnance séparée, le maintien de l'appelant joint en détention pour des motifs de sûreté sont à l'évidence toujours d'actualité, ce que celui-ci ne conteste au demeurant pas, de sorte que la mesure sera reconduite (ATF 139 IV 277 consid. 2.1-2.3).</w:t>
      </w:r>
    </w:p>
    <w:p>
      <w:r>
        <w:rPr>
          <w:b/>
        </w:rPr>
        <w:t>E. 7.1</w:t>
      </w:r>
    </w:p>
    <w:p>
      <w:r>
        <w:t>Selon l'art. 428 al. 1 première phrase CPP, les frais de la procédure de recours (Rechtsmittel)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(Kann-Vorschrift), dont l'application ne s'impose pas au juge mais relève de son appréciation. Celui-ci peut donc statuer, le cas échéant, selon le principe de l'équité (Message relatif à l'unification du droit de la procédure pénale (CPP) du 21 décembre</w:t>
      </w:r>
    </w:p>
    <w:p>
      <w:r>
        <w:t>- 13/16 - P/9287/2013 2005, FF 2006 1057 ss, spéc. 1312) ; A. DONATSCH / T. HANSJAKOB / V. LIEBER (éds), Kommentar zur Schweizerischen Strafprozessordnung (StPO), Zurich 2010, n. 9 ad art. 428 ; N. SCHMID, Schweizerische Strafprozessordnung : Praxiskommentar,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rPr>
          <w:b/>
        </w:rPr>
        <w:t>E. 7.2</w:t>
      </w:r>
    </w:p>
    <w:p>
      <w:r>
        <w:t>Malgré l'acquittement du chef de voies de fait, l'appelant joint succombe largement, étant reconnu coupable de contrainte sexuelle, infraction la plus grave parmi celles mentionnées dans l'acte d'accusation, et débouté de l'entier de ses conclusions en indemnisation.</w:t>
      </w:r>
    </w:p>
    <w:p>
      <w:r>
        <w:t>Il supportera donc les frais de la procédure envers l'État qui comprennent dans leur totalité un émolument de jugement de CHF 1'500.– (art. 428 CPP ; art. 14 al. 1 let. e du Règlement fixant le tarif des frais en matière pénale, du 22 décembre 2010 [RTFMP ; E 4 10.03]). * * * * *</w:t>
      </w:r>
    </w:p>
    <w:p>
      <w:r>
        <w:t>- 14/16 - P/9287/2013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