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AARP/238/2018 vom 2. August 2018</w:t>
      </w:r>
    </w:p>
    <w:p>
      <w:r>
        <w:t>GE Cour de justice, 2018-08-02, FR</w:t>
      </w:r>
    </w:p>
    <w:p>
      <w:r>
        <w:rPr>
          <w:b/>
        </w:rPr>
        <w:t xml:space="preserve">Quelle: </w:t>
      </w:r>
      <w:r>
        <w:t>https://mcp.opencaselaw.ch/entscheid/ge_gerichte_AARP_238_2018</w:t>
      </w:r>
    </w:p>
    <w:p>
      <w:r>
        <w:t>FR: GE_GERICHTE AARP/238/2018 du 2 août 2018</w:t>
      </w:r>
    </w:p>
    <w:p>
      <w:r>
        <w:t>IT: GE_GERICHTE AARP/238/2018 del 2 agosto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w:t>
      </w:r>
    </w:p>
    <w:p>
      <w:r>
        <w:t>- 8/18 - P/8554/2016</w:t>
      </w:r>
    </w:p>
    <w:p>
      <w:r>
        <w:rPr>
          <w:b/>
        </w:rPr>
        <w:t>E. 2.3</w:t>
      </w:r>
    </w:p>
    <w:p>
      <w:r>
        <w:t>En l'occurrence, l'appelant soutient avoir arraché sa carte d'identité des mains de l'intimé D______ après avoir en vain tenté de discuter avec lui. Les deux agents de police s'étant ensuite jetés sur lui, il se serait uniquement débattu pour se libérer d'une clé d'étranglement le conduisant au bord de l'évanouissement. Les agents municipaux ont pour leur part donné une version globalement constante et concordante des événements, expliquant avoir tenté de maîtriser l'appelant sans procéder à une clé de nuque. L'intimé D______ a dit avoir retenu l'appelant par un mouvement de reflexe, alors que celui-ci lui avait arraché sa carte d'identité et divers papiers dont le carnet d'amendes d'ordre. Tandis que le témoin F______ a émis l'hypothèse d'une clé de nuque, le témoin E______ ne se souvient pas avoir vu les agents procéder à une telle prise ni n'a perçu que l'appelant aurait été sur le point d'étouffer. Elle a au contraire qualifié leur intervention de proportionnée. Dans son arrêt, la CPR n'a pas retenu l'existence d'une clé de cou, ce qui n'a pas été contesté par l'appelant.</w:t>
      </w:r>
    </w:p>
    <w:p>
      <w:r>
        <w:rPr>
          <w:b/>
        </w:rPr>
        <w:t>E. 2.4</w:t>
      </w:r>
    </w:p>
    <w:p>
      <w:r>
        <w:t>La CPAR considère ainsi pour établi que l'appelant, en train de fumer un joint sur un banc, surpris par les deux agents, a jeté ledit joint puis arraché sa carte d'identité des mains de l'intimé D______ pour empêcher qu'il ne relève son identité, ce qu'il a reconnu. Ledit policier a retenu le jeune par reflexe et a tenté de lui faire une clé d'épaule. L'appelant s'est violemment débattu, d'abord debout, puis au sol, et a crié fortement. Il ne saurait être suivi lorsqu'il prétend avoir commencé à se débattre uniquement une fois au sol et pris dans une clé de cou de peur d'étouffement, cette hypothèse étant uniquement appuyée par son camarade F______. Sa chute et celle de l'intimé D______ sont consécutives à l'empoignade. Alors que ce</w:t>
      </w:r>
    </w:p>
    <w:p>
      <w:r>
        <w:t>- 11/18 - P/8554/2016 dernier essayait de l'immobiliser au sol, l'intimé C______, intervenu pour prêter main forte à son collègue, a tenté de lui passer les menottes, ce qui a provoqué sa propre chute. Ne réussissant pas à maîtriser l'appelant et l'intimé D______ menaçant d'utiliser son spray à poivre, l'intimé C______ a lâché sa prise, ce dont le jeune homme a profité pour s'enfuir avec sa carte d'identité. La résistance physique de l'appelant vis-à-vis des agents qui voulaient lui passer les menottes a été si intense que ceux-ci sont tombés au sol et n'ont pas réussi à le maîtriser. Sa thèse du quasi évanouissement n'est dans ces conditions pas crédible. En voulant éviter la contravention à tout prix, sans considération pour les conséquences, l'appelant a provoqué une lutte, au cours de laquelle l'un des intimés a subi une écorchure à la main. Il importe à cet égard peu de savoir de quelle manière la plaie a été causée, dans la mesure où elle l'était durant l'intervention qui a été rendue nécessaire par son comportement. L'appelant a ce faisant usé d'une violence intense au sens de l'art. 285 ch. 1 CP à l'égard des intimés qui ont été contraints d'abandonner leur tentative de le maîtriser afin d'éviter la survenance de blessures encore plus graves. Quand bien même l'intimé D______ aurait pu relever certains éléments d'identité de l'appelant avant que ce dernier ne lui arrache sa pièce d'identité, ou l'aurait connue par un contrôle antérieur, ce qui est contesté par cet agent et non documenté, on ne saurait reprocher au second d'avoir cherché à conserver ladite carte. Son intervention s'est ensuite bornée à chercher à retenir l'appelant, puis à le maîtriser à l'aide de tentatives de clés de bras et de jambe. De par son comportement violent, l'appelant a entravé le contrôle d'identité ainsi que l'établissement et la notification d'une amende d'ordre sur le champ. Ce comportement était intentionnel et avait pour objectif d'éviter la contravention, respectivement que soit porté à la connaissance de ses parents qu'il consommait de la marijuana. La culpabilité de l'appelant du chef de violence ou menace contre les autorités et les fonctionnaires au sens de l'art. 285 ch. 1 CP sera partant confirmée.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- 12/18 - P/8554/2016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3.1.2. 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1er janvier 2018 étant moins favorable en relation avec la fixation de la quotité et du montant du jour-amende, son application n’entre pas en ligne de compte (cf. art. 34 nCP et art. 2 CP). 3.1.3. L’art. 42 al. 4 aCP prévoit que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w:t>
      </w:r>
    </w:p>
    <w:p>
      <w:r>
        <w:t>- 13/18 - P/8554/2016 éviter que la peine cumulée n'ait qu'une portée symbolique (ATF 135 IV 188 consid. 3.4.4. p. 191). 3.1.4.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Un jour de peine privative de liberté de substitution (art. 106 al. 2 CP) correspond schématiquement à CHF 100.- d'amende (R. ROTH / L. MOREILLON, Code pénal I : art. 1-100 CP, Bâle 2009, n. 19 ad art. 106). 3.2. En l'espèce, la faute de l'appelant n'est pas légère. Pris en flagrante contravention, il a opté pour l'insoumission et s'en est pris violemment à l'autorité publique. Sa réaction disproportionnée à un simple contrôle d'identité suivi d'une tentative de notification d'une amende d'ordre témoigne d'un comportement irréfléchi et d'un manque de maîtrise de ses émotions. Le fait qu'il ait agi par peur de la réaction de ses parents, et en particulier de son père, ne l'excuse nullement qui plus est dans la mesure où il aurait pu régler immédiatement le montant de l'amende ou à l'office postal. Sa collaboration au cours de la procédure a été médiocre. Il a certes admis une partie des faits et s'est excusé de son comportement, se prévalant d'une erreur de jeunesse, mais persiste en appel encore à prétendre s'être uniquement débattu lorsqu'il ne pouvait plus respirer, se considérant ainsi une victime de violences policières. Sa prise de conscience est donc faible. Il convient néanmoins de tenir compte de l'effet de la peine sur l'avenir de l'appelant ainsi que de son relatif jeune âge. Il n'a pas d'antécédents, facteur neutre sur la fixation de la peine. Vu ce qui précède, une peine pécuniaire de 30 jours-amende sera prononcée. Le montant du jour-amende, fixé à CHF 50.- par le premier juge, sera confirmé dans la</w:t>
      </w:r>
    </w:p>
    <w:p>
      <w:r>
        <w:t>- 14/18 - P/8554/2016 mesure où il tient adéquatement compte de la situation personnelle, en particulier financière, de l'appelant, qui ne le conteste pas. Le sursis lui est acquis (art. 391 al. 2 CPP). Le délai d'épreuve sera toutefois ramené à deux ans ce qui, compte tenu de son jeune âge, devrait être suffisant pour le détourner de la commission de nouvelles infractions. A titre de prévention spéciale, le prononcé d'une amende en sus s'impose pour lui faire comprendre la gravité de ses actes. Le montant de celle-ci sera toutefois ramené à CHF 300.-, dans le respect de la jurisprudence sus-rappelée, puisque dite amende est une sanction additionnelle à la peine principale prononcée. La peine privative de liberté de substitution sera fixée à trois jours. L'appel est ainsi partiellement admis. 4. 4.1.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4.2.1. Compte tenu de la confirmation du verdict de culpabilité prononcé par le Tribunal de police, la peine n'ayant été que réduite, il n'y a pas lieu de revoir les frais fixés par le tribunal de première instance, à l'exception de l'émolument complémentaire qui ne sera mis à charge de l'appelant que pour 2/3 (art. 428 al. 3 CPP).</w:t>
      </w:r>
    </w:p>
    <w:p>
      <w:r>
        <w:t>4.2.2. En appel, le prévenu obtient partiellement gain de cause, seule sa conclusion subsidiaire étant admise. Il se justifie partant de lui faire supporter 2/3 des frais de la procédure, qui comprennent un émolument de CHF 1'500.- (art. 14 al. 1 let. e du règlement fixant le tarif des frais en matière pénale [RTFMP - E 4 10.03] et 428 al. 2 let. b CPP). 5. 5.1.1.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w:t>
      </w:r>
    </w:p>
    <w:p>
      <w:r>
        <w:t>- 15/18 - P/8554/2016 5.1.2. La Cour de justice applique au chef d'étude un tarif horaire de CHF 450.- ou de CHF 400.- (ACPR/282/2014 du 30 mai 2014), notamment si l'avocat concerné avait lui-même calculé sa prétention à ce taux-là (ACPR/377/2013 du 13 août 2013). 5.2. En l'espèce, compte tenu de la réduction de la peine en seconde instance, une indemnité équitable lui sera accordée pour ses frais de défense en appel, montant qui sera réduit de 2/3, soit la proportion retenue pour la répartition des frais de la procédure d'appel. C'est ainsi un montant de CHF 1'495.70, correspondant à 10h05 à CHF 400.- (CHF 4'033.35), plus CHF 132.95 pour des frais divers (CHF 4'166.30), réduit de 2/3 (CHF 2'777.55), plus la TVA de 7.7% (CHF 106.95), qui sera alloué à l'appelant. 6.</w:t>
      </w:r>
    </w:p>
    <w:p>
      <w:r>
        <w:rPr>
          <w:b/>
        </w:rPr>
        <w:t>E. 6</w:t>
      </w:r>
    </w:p>
    <w:p>
      <w:r>
        <w:t>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concernent concerne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w:t>
      </w:r>
    </w:p>
    <w:p>
      <w:r>
        <w:t>- 9/18 - P/8554/2016</w:t>
      </w:r>
    </w:p>
    <w:p>
      <w:r>
        <w:rPr>
          <w:b/>
        </w:rPr>
        <w:t>E. 6.1</w:t>
      </w:r>
    </w:p>
    <w:p>
      <w:r>
        <w:t>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(ATF 143 IV 293 consid. 1 p. 294 s. ; arrêt du Tribunal fédéral 6B_385/2017 du 5 décembre 2017 consid. 6).</w:t>
      </w:r>
    </w:p>
    <w:p>
      <w:r>
        <w:rPr>
          <w:b/>
        </w:rPr>
        <w:t>E. 6.2</w:t>
      </w:r>
    </w:p>
    <w:p>
      <w:r>
        <w:t>L'indemnité octroyée à l'appelant sera compensée avec les frais de procédure mis à sa charge. * * * * *</w:t>
      </w:r>
    </w:p>
    <w:p>
      <w:r>
        <w:t>- 16/18 - P/8554/2016</w:t>
      </w:r>
    </w:p>
    <w:p>
      <w:r>
        <w:rPr>
          <w:b/>
        </w:rPr>
        <w:t>E. 9</w:t>
      </w:r>
    </w:p>
    <w:p>
      <w:r>
        <w:t>; arrêts du Tribunal fédéral 6B_324/2017 du 8 mars 2018 consid. 1.1 ; 6B_1183/2016 du 24 août 2017 consid. 1.1 ; 6B_445/2016 du 5 juillet 2017 consid. 5.1). 2.2.1.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qu'il soit rendu plus difficile ou qu'il soit différé. Aucun un autre résultat n'est nécessaire (ATF 133 IV 97 consid. 4.2 p. 100 et consid 5.2 p. 102 ; 120 IV 136 consid. 2a p. 139 ; arrêts du Tribunal fédéral 6B_1009/2014 du 2 avril 2015 consid. 5.1.1 ; 6B_659/2013 du 4 novembre 2013 consid. 1.1 ; A. MACALUSO / L. MOREILLON / N. QUELOZ, Commentaire romand, Code pénal II, vol. II, Partie spéciale : art. 111-392 CP, Bâle 2017, n. 19 ad art. 285 ; S. TRECHSEL / M. PIETH, Schweizerisches Strafgesetzbuch, Praxiskommentar, 3e éd., Zurich / St-Gall 2018, n. 2 ad art. 285). Par violence, on entend ordinairement une action physique de l'auteur sur la personne du fonctionnaire. L'usage de la violence doit revêtir une certaine gravité. Une petite bousculade ne saurait suffire.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 arrêts du Tribunal fédéral 6B_871/2014 du 24 août 2015 consid. 3.1 ; 6B_257/2010 du 5 octobre 2010 consid. 5.1.1). Ainsi, se débattre, hurler et tenter d'asséner un coup de tête à un agent de police est un comportement qui, pris dans sa globalité, constitue une violence qui excède la simple bousculade, quand bien même un gendarme est rompu aux actes d'arrestation (arrêt du Tribunal fédéral 6B_659/2013 du 4 novembre 2013 consid. 1.2). Le fait de se débattre est un comportement qui suffit à réaliser les conditions de l'art. 285 CP dès lors que la lutte qu'il implique comprend des voies de fait (arrêt du Tribunal fédéral 6P.129/2005 du 19 janvier 2006 consid. 7). En revanche, arracher à un fonctionnaire un livret de rapport ne remplit pas la qualification de violence, dans la mesure où un tel impact indirect sur le corps n'est pas suffisamment intense (M. NIGGLI / H. WIPRÄCHTIGER, Basler Kommentar Strafrecht II : Art. 111-392 StGB, 3e éd., Bâle 2013, n. 6 ad art. 285). Le second comportement typique consiste à contraindre une autorité, un membre d'une autorité ou un fonctionnaire à faire un acte contre son gré en ayant recours à la</w:t>
      </w:r>
    </w:p>
    <w:p>
      <w:r>
        <w:t>- 10/18 - P/8554/2016 violence ou à la menace (M. DUPUIS / L. MOREILLON / C. PIGUET / S. BERGER / M. MAZOU / V. RODIGARI, Petit commentaire du Code pénal, 2e éd., Bâle 2017, n. 11 s ad art. 285). 2.2.2. L'art. 286 CP se distingue tant de l'infraction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 120 IV 136 consid. 2a p. 139 et références citées). Le seul fait d'exprimer son désaccord à l'endroit d'un acte entrepris par un fonctionnaire, mais sans l'entraver, ne suffit pas (ATF 105 IV 48 consid. 3 p.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