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AARP/233/2023 vom 27. Juni 2023</w:t>
      </w:r>
    </w:p>
    <w:p>
      <w:r>
        <w:t>GE Cour de justice, 2023-06-27, FR</w:t>
      </w:r>
    </w:p>
    <w:p>
      <w:r>
        <w:rPr>
          <w:b/>
        </w:rPr>
        <w:t xml:space="preserve">Quelle: </w:t>
      </w:r>
      <w:r>
        <w:t>https://mcp.opencaselaw.ch/entscheid/ge_gerichte_AARP_233_2023</w:t>
      </w:r>
    </w:p>
    <w:p>
      <w:r>
        <w:t>FR: GE_GERICHTE AARP/233/2023 du 27 juin 2023</w:t>
      </w:r>
    </w:p>
    <w:p>
      <w:r>
        <w:t>IT: GE_GERICHTE AARP/233/2023 del 27 giugno 2023</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La peine menace de l'art. 146 al. 1 CP est une peine privative de liberté de cinq ans au plus, tandis que celle prévue par l'art. 151 CP est une peine privative de liberté de trois ans au plus. Ces infractions sont, alternativement, réprimées par une peine pécuniaire. 2.2.1.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- 9/20 - P/25348/2018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2.2.2. Bien que la récidive ne constitue plus un motif d'aggravation obligatoire de la peine (art. 67 aCP), les antécédents continuent de jouer un rôle très important dans la fixation de celle-ci (M. NIGGLI / H. WIPRÄCHTIGER, Basler Kommentar Strafrecht I : 1-110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p. 89).</w:t>
      </w:r>
    </w:p>
    <w:p>
      <w:r>
        <w:t>2.2.3. Le juge atténue la peine en application de l'art. 19 al. 2 CP si, au moment d'agir, l'auteur ne possédait que partiellement la faculté d'apprécier le caractère illicite de son acte ou de se déterminer d'après cette appréciation. 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w:t>
      </w:r>
    </w:p>
    <w:p>
      <w:r>
        <w:t>- 10/20 - P/25348/2018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 2.2.4.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w:t>
      </w:r>
    </w:p>
    <w:p>
      <w:r>
        <w:t>2.2.5. La durée de la peine privative de liberté est en règle générale de trois jours au moins et de 20 ans au plus (art. 40 CP). 2.2.6. Selon l'art. 42 al. 1 CP, le juge suspend en règle générale l'exécution d'une peine pécuniaire ou d'une peine privative de liberté de deux ans au plus lorsqu'une peine ferme ne paraît pas nécessaire pour détourner l'auteur d'autres crimes ou délits.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2.3.1.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2.3.2.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w:t>
      </w:r>
    </w:p>
    <w:p>
      <w:r>
        <w:t>- 11/20 - P/25348/2018 Dans tous les cas, l'autorité compétente vérifie au moins une fois par an s'il y a lieu de poursuivre le traitement ambulatoire ou de l'arrêter (art. 63a al. 1 CP). 2.3.3.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(ATF 135 IV 180 consid. 2.3 ; arrêt du Tribunal fédéral 6B_1227/2015 du 29 juillet 2016 consid. 1.2.4). Les conditions du sursis, intégral ou partiel, ne sont ainsi pas remplies, de sorte qu'une peine ferme doit être prononcée (arrêts du Tribunal fédéral 6B_268/2008 du 2 mars 2009 consid. 6 et 6B_769/2008 du 18 juin 2009 consid. 2.3). 2.3.4. En vertu de l'art. 63 al. 2 CP, si la peine n'est pas compatible avec le traitement, le juge peut suspendre, au profit d'un traitement ambulatoire, l'exécution d'une peine privative de liberté ferme prononcée en même temps que le traitement. Une assistance de probation ou des règles de conduite peuvent être ordonnées. Le principe est que la peine est exécutée et que le traitement ambulatoire est suivi en même temps. La suspension de la peine revêt un caractère exceptionnel (ATF 129 IV 161 consid. 4.1 et 4.3 p. 162 ss ; arrêts du Tribunal fédéral 6B_1150/2014 du 19 novembre 2015 consid. 3.2.2 ; 6B_335/2012 du 13 août 2012 consid. 2.1). Ainsi, chaque fois qu'une peine est apte, seule, à prévenir une nouvelle infraction, elle doit être ordonnée. Un traitement ambulatoire, et la suspension éventuelle de l'exécution de la peine, nécessitent une justification particulière (arrêt du Tribunal fédéral 6B_282/2007 du 5 octobre 2007 consid. 4.2 avec référence à l'ATF 129 IV 161 consid. 4.1 et 4.3). La suspension ne pourra ainsi être ordonnée que si l'auteur ne constitue pas un danger pour la collectivité et que le traitement ambulatoire s'avère prioritaire (arrêt du Tribunal fédéral 6B_1250/2014 du 29 septembre 2015 consid. 5.2). En principe, la probabilité que l'auteur puisse commettre des infractions avec violence suffit pour exclure la suspension de la peine. Inversement, on ne saurait appliquer la même conséquence à des infractions contre le patrimoine. En cas d'infractions de gravité moyenne, il convient d'en examiner les caractéristiques et l'intensité. Les effets escomptés du traitement sont également à prendre en compte dans cette appréciation puisqu'une prise en charge adéquate peut entraîner une baisse du risque de récidive et donc de la dangerosité pour des tiers (L. MOREILLON / A. MACALUSO / N. QUELOZ / N. DONGOIS (éds), Commentaire romand, Code pénal I, art. 1-110 CP, 2ème éd., Bâle 2021, n. 24 ad art. 63). La suspension doit aussi se justifier suffisamment par des motifs thérapeutiques. Une suspension doit être ordonnée si la perspective du succès du traitement est considérablement compromise par l'exécution de la peine privative de liberté prononcée. Il n'est toutefois pas nécessaire que le traitement pendant l'exécution soit totalement impossible ou dépourvu de chances de</w:t>
      </w:r>
    </w:p>
    <w:p>
      <w:r>
        <w:t>- 12/20 - P/25348/2018 succès (ATF 116 IV 101 consid. 1.a. et références citées). La thérapie doit être privilégiée lorsqu'un traitement immédiat offre de bonnes chances de réinsertion, alors qu'un séjour carcéral les anéantirait ou les diminuerait clairement (arrêt du Tribunal fédéral 6B_1150/2014 du 19 novembre 2015 consid. 3.2.2). La suspension n'apparaît pas justifiée si on ne peut espérer que la thérapie sera fructueuse seulement à long terme et de manière modeste (ATF 129 IV 161 consid. 5.4). De même, les effets néfastes de la détention sur le plan familial, professionnel et social ne suffisent pas (arrêt du Tribunal fédéral 6B_698/2017 du 13 octobre 2017 consid. 7.3). Si l'auteur a volontairement suivi avec succès une thérapie avant le jugement et jusqu'à son prononcé, une suspension de la peine peut être indiquée (M. DUPUIS / L. MOREILLON / C. PIGUET / S. BERGER / M. MAZOU / V. RODIGARI [éds], Code pénal - Petit commentaire, 2e éd., Bâle 2017, n. 14 ad art. 63). Il faut ainsi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(ATF 116 IV 101 consid. 1.a ; 129 IV 161 consid. 4.1 ; arrêt du Tribunal fédéral 6B_1150/2014 du 19 novembre 2015 consid. 3.2.2). Pour certaines personnes condamnées, il peut être bénéfique de suivre le traitement ambulatoire en détention. Le cadre pénitentiaire apporte une structure journalière, des activités, la possibilité de se former et implique une mise à l'écart de facteurs criminogènes pour un certain temps. En revanche, pour d'autres, un séjour carcéral peut se révéler néfaste voir même contreproductif. En général, le maintien des liens prosociaux ainsi que d'une activité professionnelle à l'extérieur a une influence positive et devrait ainsi favoriser la réussite de la mesure (L. MOREILLON / A. MACALUSO / N. QUELOZ / N. DONGOIS (éds), op. cit., n. 25 ad art. 63).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 du Tribunal fédéral 6B_992/2017 du 11 décembre 2017 consid. 2.1.2).</w:t>
      </w:r>
    </w:p>
    <w:p>
      <w:r>
        <w:t>2.4.1. Dans l'absolu, la faute de l'appelant pour les deux crimes et le délit commis peut être qualifiée de grave. Il s'en est pris au patrimoine d'autrui, sans égard au temps et à l'énergie qu'il faisait perdre en sus à ses interlocuteurs. Il a agi sans scrupules et sur plusieurs mois, profitant de la confiance que les lésés lui avaient accordée. De par ses actes, il a fait perdre plus de CHF 325'000.- à D______ SÀRL, tout en s'enrichissant de CHF 5'385.-. Alors qu'une procédure pénale était menée à son encontre pour ces faits, il a commis une seconde escroquerie, certes pour un montant moindre, mais basée sur les mêmes motivations. Pour parfaire son personnage, il n'a pas hésité à fabriquer de fausses preuves de paiement, à signer des</w:t>
      </w:r>
    </w:p>
    <w:p>
      <w:r>
        <w:t>- 13/20 - P/25348/2018 contrats et à interagir avec de multiples professionnels, tant lors de rendez-vous fictifs que par écrit. Son comportement démontre un mépris complet des valeurs d'autrui. Contrairement à ce que soutient l'appelant, aucune responsabilité des lésés n'entre en considération pour diminuer sa faute. Sa culpabilité, non contestée en appel, est acquise, en particulier au vu de son attitude et des préparatifs mis en place pour duper les plaignants, qui étaient légitimés à croire pour vraies ses paroles et ses fausses intentions, malgré tout éventuel doute qu'ils auraient pu avoir. Il en va de même du fait qu'ils ont renoncé à leurs prétentions, voire que l'un deux s'est destitué par la suite de sa constitution de partie plaignante, points qui n'ont aucune incidence sur le comportement et les agissements de l'appelant et, partant, sur la faute de celui-ci. Sa situation personnelle, marquée par les pathologies dont il souffre, peut expliquer en partie ses agissements, raison pour laquelle les experts ont retenu que sa responsabilité était moyennement restreinte, sans pour autant les justifier. Ses mobiles, autant qu'ils sont discernables, s'apparentent à un besoin de reconnaissance et de se sentir exister à travers un faux rôle, visant à combler un manque de confiance en lui. Il a agi par pure convenance personnelle, soit pour un mobile égoïste et futile. Sa collaboration peut être qualifiée de bonne dans la mesure où il a admis l'intégralité des faits. Sa prise de conscience semble à ce jour bien amorcée. Il admet en effet l'entièreté de sa culpabilité et le diagnostic posé, ainsi que la nécessité d'un traitement thérapeutique, ayant pris conscience de ses pathologies. Il a toutefois récidivé peu de temps après sa dernière condamnation prononcée le 18 janvier 2018 et, pour ce qui est du deuxième complexe de faits reproché, deux mois seulement après son audition au MP en juillet 2019 pour le même type d'infractions, persuadé que ses agissements n'allaient pas avoir de conséquences sur la procédure pénale en cours. Ces constatations appuient ainsi nécessairement le fait que la prise de conscience de ses agissements et de son trouble est plus que récente. Aucun motif justificatif n'entre en considération. Ses antécédents pénaux sont mauvais et spécifiques. Il n'a tiré aucune leçon de ses précédentes condamnations, dont la majorité est pourtant relativement ancienne, ce qui démontre un ancrage dans la délinquance et non une simple rechute ponctuelle, comme le soutient l'appelant. Il y a concours d'infractions, facteur d'aggravation de la peine. Seule une peine privative de liberté peut sanctionner adéquatement la faute de l'appelant, ce qu'il ne conteste d'ailleurs pas.</w:t>
      </w:r>
    </w:p>
    <w:p>
      <w:r>
        <w:t>- 14/20 - P/25348/2018 2.4.2. Considérée abstraitement, la faute de l'appelant est lourde et de tels faits emporteraient une peine privative de liberté de 18 mois à tout le moins, vu le concours d'infractions [peine privative de liberté de 12 mois pour l'escroquerie, commise à deux reprises, augmentée de six mois pour tenir compte de l'atteinte astucieuse aux intérêts pécuniaires d'autrui (peine hypothétique de huit mois)]. Vu la responsabilité moyennement restreinte de l'appelant et compte tenu de l'ensemble des éléments précités, sa faute doit en définitive être qualifiée de moyenne. La peine privative de liberté de 12 mois prononcée par le premier juge est ainsi adéquate et sera donc confirmée. Contrairement à ce que soutient l'appelant, le pronostic est défavorable. Les experts ont justement souligné qu'au vu de son trouble, le risque de récidive d'infractions du même type était élevé, raison pour laquelle ils préconisent un traitement ambulatoire afin de réduire ce risque, mesure que l'appelant ne conteste d'ailleurs pas. Une peine ferme s'impose donc. L'appel sera partant rejeté sur ce point. 2.4.3. Le traitement ambulatoire (art. 63 CP) prononcé par le TP et non contesté en appel, dans la mesure où l'appelant a retiré, lors des débats, sa conclusion y relative, est conforme aux conclusions des experts, dont il n'y a pas lieu de s'écarter, et sera partant confirmé. Il est renvoyé au considérant quatre du jugement de première instance à ce propos (cf. art. 82 al. 4 CPP). 2.4.4. L'appelant requiert toutefois, dans ces circonstances, que la peine soit suspendue au profit de la mesure. Les experts ont, certes, considéré que le traitement ambulatoire n'était pas concrètement incompatible avec l'exécution d'une peine privative de liberté. Cela étant, ils ont également souligné que le fait de purger cette peine n'était pas adéquat pour une prise en charge idéale de l'appelant, ce qui permet déjà de douter de la réelle efficacité de la mesure dans ce contexte. Il convient également de ne pas perdre de vue que l'appelant est en liberté depuis plusieurs années et qu'il s'est astreint à un suivi thérapeutique régulier depuis 2017, initié de manière volontaire. Bien qu'en janvier 2021 les experts ont considéré que ce suivi ne semblait pas encore porter ses fruits, ils ont aussi estimé qu'une mesure ambulatoire, d'une durée d'au moins deux ans, de type psychothérapeutique, axé sur un travail sur l'estime de soi, était susceptible de diminuer le risque de récidive et ce, en prenant en considération tant les éventuelles maigres résultats de cette thérapie que le fait que la réussite de cette mesure dépendait aussi de la volonté de changement de l'expertisé. Or, même si le traitement mis en place depuis 2017 n'a</w:t>
      </w:r>
    </w:p>
    <w:p>
      <w:r>
        <w:t>- 15/20 - P/25348/2018 pas eu d'effets immédiats, dès lors que l'appelant a récidivé après l'avoir initié, l'appelant semble toutefois avoir évolué positivement depuis lors. Il n'a plus commis d'infractions dès 2018 et 2019, en particulier depuis la fin de l'instruction et l'audience de jugement. Ces résultats doivent être pris en considération puisqu'ils démontrent que cette prise en charge, après plusieurs années de thérapie, est adéquate et entraîne une baisse du risque de récidive et donc de l'éventuelle dangerosité de l'appelant, qui a fait preuve d'une volonté de changement ces deux dernières années, étant souligné que les infractions commises ont touché uniquement au patrimoine et non à un bien juridique plus précieux. Comme relevé précédemment, la prise de conscience de l'appelant semble être amorcée et il importe de l'encourager dans cette voie, d'autant qu'il semble avoir fait des progrès dans sa vie privée. Il a en effet réussi à trouver, seul, un appartement, ce qui lui a permis de reprendre confiance dans ses aptitudes et sa valeur, facteurs d'une importance primordiale dès lors que ses agissements avaient comme utilité principale une réassurance narcissique. L'appelant semble également avoir désormais un quotidien plus adapté et en adéquation avec ses conditions de vie. Il sied par conséquent de préserver au mieux le cadre de vie que l'appelant s'est construit afin de lui assurer la stabilité propice et nécessaire à son traitement et à la réussite de celui-ci. À cela s'ajoute que la santé de l'appelant s'est passablement dégradée dernièrement, ce qui a eu nécessairement un impact sur lui et la manière dont il perçoit désormais son avenir. Dans ces conditions, on voit mal comment il pourrait se concentrer tant sur sa santé mentale que physique lors d'un séjour carcéral. Au contraire, ses chances de réinsertion seraient clairement amoindries en cas d'incarcération et il se retrouverait dans une situation instable, ce qui augmenterait nécessairement le risque de récidive. La peine privative de liberté se révèlerait ainsi néfaste et contreproductive puisqu'elle l'isolerait davantage. L'appelant doit ainsi pouvoir poursuivre ses efforts hors milieu carcéral, la confrontation avec le monde extérieur étant de nature à lui permettre de démontrer la réalité des progrès effectués et sa volonté dans la durée. Au vu de ces éléments, il se justifie de suspendre la peine privative de liberté fixée au profit du traitement ambulatoire. L'attention de l'appelant sera toutefois attirée sur le fait qu'il lui appartient de respecter les conditions fixées par le présent arrêt, à savoir s'astreindre à un traitement psychothérapeutique, de manière régulière, tel que préconisé par les experts, afin d'éviter tout risque de récidive, sous peine d'une réincarcération pour le solde de sa peine, nonobstant le prononcé d'une éventuelle nouvelle peine ou mesure.</w:t>
      </w:r>
    </w:p>
    <w:p>
      <w:r>
        <w:t>- 16/20 - P/25348/2018</w:t>
      </w:r>
    </w:p>
    <w:p>
      <w:r>
        <w:rPr>
          <w:b/>
        </w:rPr>
        <w:t>E. 3</w:t>
      </w:r>
    </w:p>
    <w:p>
      <w:r>
        <w:t>Dès lors que les experts préconisent une collaboration entre le thérapeute et le SAPEM dans le cadre du traitement ambulatoire, la transmission à cette institution du jugement de première instance, du procès-verbal de l'audience de jugement, du rapport d'expertise psychiatrique du 25 janvier 2021, ainsi que du procès-verbal de l'audition des experts du 12 avril 2021 est nécessaire et utile, ce que l'appelant reconnaît. Elle sera donc confirmée (art. 75 al. 1 CPP).</w:t>
      </w:r>
    </w:p>
    <w:p>
      <w:r>
        <w:rPr>
          <w:b/>
        </w:rPr>
        <w:t>E. 4</w:t>
      </w:r>
    </w:p>
    <w:p>
      <w:r>
        <w:t>Les mesures de confiscation et destruction, qui n'ont pas été remises en cause en appel, seront également confirmées.</w:t>
      </w:r>
    </w:p>
    <w:p>
      <w:r>
        <w:rPr>
          <w:b/>
        </w:rPr>
        <w:t>E. 5.1</w:t>
      </w:r>
    </w:p>
    <w:p>
      <w:r>
        <w:t>L'appelant, qui succombe très majoritairement, supportera 90 % des frais de la procédure envers l'État, comprenant un émolument de jugement de CHF 1'200.- (art. 428 al. 1 CPP). Le solde de ces frais sera laissé à la charge de l'État.</w:t>
      </w:r>
    </w:p>
    <w:p>
      <w:r>
        <w:rPr>
          <w:b/>
        </w:rPr>
        <w:t>E. 5.2</w:t>
      </w:r>
    </w:p>
    <w:p>
      <w:r>
        <w:t>Sa culpabilité étant acquise, la mise à sa charge des frais de première instance sera confirmée (art. 426 al. 1 CPP a contrario).</w:t>
      </w:r>
    </w:p>
    <w:p>
      <w:r>
        <w:rPr>
          <w:b/>
        </w:rPr>
        <w:t>E. 6</w:t>
      </w:r>
    </w:p>
    <w:p>
      <w:r>
        <w:t>décembre 2016 consid. 6.4 ; ACPR/209/2017 du 28 mars 2017 consid. 6.1).</w:t>
      </w:r>
    </w:p>
    <w:p>
      <w:r>
        <w:t>6.1.4.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75.- pour les collaborateurs, dite rémunération étant allouée d'office par la juridiction d'appel pour les débats devant elle.</w:t>
      </w:r>
    </w:p>
    <w:p>
      <w:r>
        <w:rPr>
          <w:b/>
        </w:rPr>
        <w:t>E. 6.2</w:t>
      </w:r>
    </w:p>
    <w:p>
      <w:r>
        <w:t>En application de ces principes, il convient de retrancher de l'état de frais de Me B______ : - 60 minutes d'entretien avec le client, 90 minutes étant suffisantes pour l'orienter sur l'opportunité d'un appel et la suite de la procédure ainsi que pour recueillir d'éventuelles informations pertinentes complémentaires et préparer son audition ; - la rédaction de la déclaration d'appel, activité couverte par le forfait ; - l'étude du dossier sera ramenée à quatre heures, activité devant suffire à une collaboratrice, malgré sa constitution tardive, vu le temps déjà consacré à la préparation de l'audience qui sera admis dans son intégralité, alors que seule la peine est contestée.</w:t>
      </w:r>
    </w:p>
    <w:p>
      <w:r>
        <w:t>Sa rémunération sera donc arrêtée à CHF 2'002.20 correspondant à une heure et 30 minutes d'activité aux taux horaire de CHF 200.- (CHF 300.-), sept heures et 40 minutes d'activité au taux horaire de CHF 150.- (CHF 1'150.-) et 20 minutes aux taux horaires de CHF 110.- (CHF 36.70), plus le forfait de 20 % (CHF 297.35), la vacation (CHF 75.-) et la TVA (CHF 143.15).</w:t>
      </w:r>
    </w:p>
    <w:p>
      <w:r>
        <w:t>- 18/20 - P/25348/2018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