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AARP/231/2023 vom 16. Juni 2023</w:t>
      </w:r>
    </w:p>
    <w:p>
      <w:r>
        <w:t>GE Cour de justice, 2023-06-16, FR</w:t>
      </w:r>
    </w:p>
    <w:p>
      <w:r>
        <w:rPr>
          <w:b/>
        </w:rPr>
        <w:t xml:space="preserve">Quelle: </w:t>
      </w:r>
      <w:r>
        <w:t>https://mcp.opencaselaw.ch/entscheid/ge_gerichte_AARP_231_2023</w:t>
      </w:r>
    </w:p>
    <w:p>
      <w:r>
        <w:t>FR: GE_GERICHTE AARP/231/2023 du 16 juin 2023</w:t>
      </w:r>
    </w:p>
    <w:p>
      <w:r>
        <w:t>IT: GE_GERICHTE AARP/231/2023 del 16 giugno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w:t>
      </w:r>
    </w:p>
    <w:p>
      <w:r>
        <w:rPr>
          <w:b/>
        </w:rPr>
        <w:t>E. 2.2</w:t>
      </w:r>
    </w:p>
    <w:p>
      <w:r>
        <w:t>Dans le cadre du principe de libre appréciation des preuves selon son intime conviction (art. 10 al. 2 CPP), qui gouverne notamment l'appréciation des déclarations des parties, il appartient au juge de retenir, sans arbitraire, la version qui lui paraît la plus convaincante et de motiver les raisons de son choix. Conformément au principe précité, la crédibilité à apporter aux divers moyens de preuve relève en premier lieu de la compétence du juge du fait, aucun d’entre eux ne s'imposant à lui. Selon l'art. 113 al. 1 CPP, le prévenu n'a pas l'obligation de déposer contre lui-même. Il a notamment le droit de refuser de déposer et de refuser de collaborer à la procédure.</w:t>
      </w:r>
    </w:p>
    <w:p>
      <w:r>
        <w:rPr>
          <w:b/>
        </w:rPr>
        <w:t>E. 2.3</w:t>
      </w:r>
    </w:p>
    <w:p>
      <w:r>
        <w:t>Selon l’article 291 al. 1 CP, celui qui aura contrevenu à une décision d'expulsion du territoire de la Confédération ou d'un canton prononcée par une autorité</w:t>
      </w:r>
    </w:p>
    <w:p>
      <w:r>
        <w:t>- 5/12 - P/25604/2022 compétente sera puni d'une peine privative de liberté de trois ans au plus ou d'une peine pécuniaire.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p. 256 ; 147 IV 232 consid. 1.1 p. 234).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2.4</w:t>
      </w:r>
    </w:p>
    <w:p>
      <w:r>
        <w:t>En l’espèce, l’appelant maintient qu’il ignorait la durée de son expulsion et pensait erronément qu’elle avait pris fin lors de sa venue en Suisse à l’automne 2022, et doit en conséquence être mis au bénéfice d’une erreur sur les faits. Cette affirmation n’est toutefois pas crédible. L’appelant était présent lors du prononcé de son expulsion le 31 janvier 2019, ayant personnellement assisté à l’audience et bénéficié de l’assistance d’un avocat. De plus, il a été condamné à deux reprises déjà pour rupture de ban et s’est ainsi vu rappeler à chaque fois l’existence de cette mesure d’expulsion. Enfin, celle-ci lui a été une nouvelle fois signifiée lors du refus de sa libération conditionnelle par le TAPEM le 26 octobre 2021. La Cour a ainsi acquis la certitude que les déclarations de l’appelant sont de circonstance, faites pour les besoins de la cause suite à son interpellation, et qu’il savait pertinemment être encore sous le coup d’une expulsion lors de son interpellation en décembre 2022. Il ne peut ainsi pas se prévaloir d’une erreur sur les faits et le verdict de culpabilité de rupture de ban doit être confirmé, les autres conditions d’application de cette disposition étant réalisées.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- 6/12 - P/25604/2022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permettant l'application de l'art. 49 al. 1 CP, doit notamment être admis lorsque l'auteur réalise les éléments constitutifs de la même infraction à plusieurs reprises (arrêt du Tribunal fédéral 6B_1175/2017 du 11 avril 2018 consid. 2.4 et les références).</w:t>
      </w:r>
    </w:p>
    <w:p>
      <w:r>
        <w:rPr>
          <w:b/>
        </w:rPr>
        <w:t>E. 3.3</w:t>
      </w:r>
    </w:p>
    <w:p>
      <w:r>
        <w:t>En l’espèce, la faute de l’appelant est lourde. Alors qu’il se trouvait dans une situation sinon confortable, du moins stable et lui permettant de subvenir à ses besoins, il n’a pas hésité à venir en Suisse pour commettre des vols, nonobstant l’expulsion prononcée à son encontre pour des actes semblables, afin de se procurer de la sorte un revenu facile et aux dépens des intérêts pécuniaires d’autrui. Ce faisant, il a démontré le peu de cas qu’il faisait des décisions des autorités et du bien d’autrui. Rien dans sa situation personnelle ne justifie ni n’explique ses actes, étant rappelé qu’il était, selon ses dires, au bénéfice d’un emploi en France voisine où il bénéficiait de surcroît d’un logement. Les antécédents de l’appelant sont mauvais et en partie spécifiques. Il n’a manifestement pas su prendre la mesure de ses condamnations précédentes et seule une peine privative de liberté entre en ligne de compte pour sanctionner son</w:t>
      </w:r>
    </w:p>
    <w:p>
      <w:r>
        <w:t>- 7/12 - P/25604/2022 comportement. Il ne remplit assurément pas les conditions du sursis, ce qu’il ne soutient d’ailleurs pas. Les deux ruptures de ban commises par l’appelant entrent en concours. Au vu de la répétition de ses actes, chaque infraction, de gravité égale, encourt une peine de six mois. La peine privative de liberté de neuf mois prononcée par le premier juge tient adéquatement compte du concours et est donc appropriée. Elle sera ainsi confirmée.</w:t>
      </w:r>
    </w:p>
    <w:p>
      <w:r>
        <w:rPr>
          <w:b/>
        </w:rPr>
        <w:t>E. 4.1</w:t>
      </w:r>
    </w:p>
    <w:p>
      <w:r>
        <w:t>L'exécution anticipée d'une peine relève de l'exécution de la détention provisoire et de la détention pour des motifs de sécurité. Le fondement juridique de la privation de liberté n'est pas la peine privative de liberté qui sera probablement prononcée mais la détention pendant la procédure (ATF 143 IV 160 consid.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2.3 et 4).</w:t>
      </w:r>
    </w:p>
    <w:p>
      <w:r>
        <w:rPr>
          <w:b/>
        </w:rPr>
        <w:t>E. 4.2</w:t>
      </w:r>
    </w:p>
    <w:p>
      <w:r>
        <w:t>La détention pour des motifs de sûreté ne peut être ordonnée que lorsque le prévenu est fortement soupçonné d'avoir commis un crime ou un délit (« charges suffisantes ») et qu'il y a sérieusement lieu de craindre qu'il se soustraie à la procédure pénale ou à la sanction prévisible en prenant la fuite (« risque de fuite », art. 221 al. 1 let. a CPP), qu'il compromette la recherche de la vérité en exerçant une influence sur des personnes ou en altérant des moyens de preuves (« risque de collusion » art. 221 al. 1 let. b CPP) ou qu'il compromette sérieusement la sécurité d'autrui par des crimes ou des délits graves après avoir déjà commis des infractions du même genre (« risque de réitération » art. 221 al. 1 let. c CPP).</w:t>
      </w:r>
    </w:p>
    <w:p>
      <w:r>
        <w:rPr>
          <w:b/>
        </w:rPr>
        <w:t>E. 4.3</w:t>
      </w:r>
    </w:p>
    <w:p>
      <w:r>
        <w:t>Selon l'art. 221 al. 1 let. c CPP un risque de récidive peut être admis à trois conditions : en premier lieu, le prévenu doit en principe déjà avoir commis des infractions du même genre (pour une exception à cette exigence, cf. ATF 137 IV 13 consid. 3 et 4) et il doit s'agir de crimes ou de délits graves ; deuxièmement, la sécurité d'autrui doit être sérieusement compromise ;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Ce sont en premier lieu les délits contre l'intégrité corporelle et sexuelle qui sont visés. Dans ce contexte, il faut se montrer plus sévère à l'égard des infractions commises contre des personnes nécessitant une protection particulière, notamment les enfants. L'importance de la sécurité d'autrui, respectivement la santé publique, entre également en considération en cas d'infractions qualifiées à la loi sur les stupéfiants,</w:t>
      </w:r>
    </w:p>
    <w:p>
      <w:r>
        <w:t>- 8/12 - P/25604/2022 notamment lorsque celles-ci sont commises en bande et par métier dans le cadre d'un trafic de cannabis d'une certaine envergure (ATF 143 IV 9 consid. 2.6 et 2.7 et références citées ; arrêt du Tribunal fédéral 1B_166/2019 du 23 avril 2019 consid. 4.1).</w:t>
      </w:r>
    </w:p>
    <w:p>
      <w:r>
        <w:rPr>
          <w:b/>
        </w:rPr>
        <w:t>E. 4.4</w:t>
      </w:r>
    </w:p>
    <w:p>
      <w:r>
        <w:t>En l’espèce, les charges sont suffisantes et établies compte tenu du verdict de culpabilité. Compte tenu du nombre de condamnations déjà prononcées à son encontre, l’appelant présente sans aucun doute un risque de récidive d’infractions du même genre ; leur gravité n’est toutefois pas de celles justifiant absolument la poursuite de sa détention. Par ailleurs, il n’y a aucun risque de collusion et le risque de fuite, avéré, est pallié par le fait que l’appelant dispose d’un domicile, de perspectives professionnelles concrètes et a fourni une adresse permettant de le contacter pour l’exécution du solde de sa peine. Dans ces circonstances, les conditions du maintien en détention ne sont exceptionnellement plus réalisées et la libération immédiate de l’appelant a été ordonnée lors du prononcé du dispositif du présent arrêt.</w:t>
      </w:r>
    </w:p>
    <w:p>
      <w:r>
        <w:rPr>
          <w:b/>
        </w:rPr>
        <w:t>E. 5</w:t>
      </w:r>
    </w:p>
    <w:p>
      <w:r>
        <w:t>L'appelant, qui succombe, supportera les frais de la procédure envers l'État (art. 428 CPP).</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w:t>
      </w:r>
    </w:p>
    <w:p>
      <w:r>
        <w:rPr>
          <w:b/>
        </w:rPr>
        <w:t>E. 6.2</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w:t>
      </w:r>
    </w:p>
    <w:p>
      <w:r>
        <w:t>- 9/12 - P/25604/2022 cf. également Ordonnance de la Cour des plaintes du Tribunal pénal fédéral BB.2016.369 du 12 juillet 2017 consid. 4.2.4).</w:t>
      </w:r>
    </w:p>
    <w:p>
      <w:r>
        <w:rPr>
          <w:b/>
        </w:rPr>
        <w:t>E. 6.3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6.4</w:t>
      </w:r>
    </w:p>
    <w:p>
      <w:r>
        <w:t>En l'occurrence, l'état de frais produit par Me B______ satisfait globalement les exigences légales et jurisprudentielles régissant l'assistance judiciaire gratuite en matière pénale. En seront toutefois soustraits une visite à la prison en février 2023, une seconde visite dans le même mois ne se justifiant pas, ainsi que la demi-heure consacrée à la lecture du jugement motivé, dite activité étant rémunérée par l’indemnisation forfaitaire.</w:t>
      </w:r>
    </w:p>
    <w:p>
      <w:r>
        <w:t>En conclusion, la rémunération sera arrêtée à CHF 2'407.10 correspondant à 12 heures d'activité au tarif de CHF 150.-/heure plus la majoration forfaitaire de 20%, une vacation à CHF 75.- et l'équivalent de la TVA au taux de 7.7% en CHF 172.10. * * * * *</w:t>
      </w:r>
    </w:p>
    <w:p>
      <w:r>
        <w:t>- 10/12 - P/25604/2022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