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AARP/231/2015 vom 13. Mai 2015</w:t>
      </w:r>
    </w:p>
    <w:p>
      <w:r>
        <w:t>GE Cour de justice, 2015-05-13, FR</w:t>
      </w:r>
    </w:p>
    <w:p>
      <w:r>
        <w:rPr>
          <w:b/>
        </w:rPr>
        <w:t xml:space="preserve">Quelle: </w:t>
      </w:r>
      <w:r>
        <w:t>https://mcp.opencaselaw.ch/entscheid/ge_gerichte_AARP_231_2015</w:t>
      </w:r>
    </w:p>
    <w:p>
      <w:r>
        <w:t>FR: GE_GERICHTE AARP/231/2015 du 13 mai 2015</w:t>
      </w:r>
    </w:p>
    <w:p>
      <w:r>
        <w:t>IT: GE_GERICHTE AARP/231/2015 del 13 maggio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w:t>
      </w:r>
    </w:p>
    <w:p>
      <w:r>
        <w:t>- 12/25 - P/18754/2007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w:t>
      </w:r>
    </w:p>
    <w:p>
      <w:r>
        <w:rPr>
          <w:b/>
        </w:rPr>
        <w:t>E. 2.2</w:t>
      </w:r>
    </w:p>
    <w:p>
      <w:r>
        <w:t>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3</w:t>
      </w:r>
    </w:p>
    <w:p>
      <w:r>
        <w:t>La présomption d’innocence, dont le principe in dubio pro reo est le corollaire, est garantie par les art. 6 par. 2 CEDH et 32 al. 1 de la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4.1</w:t>
      </w:r>
    </w:p>
    <w:p>
      <w:r>
        <w:t>p. 47 ; ATF 117 IV 209 consid. 4b p. 218 ; arrêt du Tribunal fédéral 6B_596/2007 du</w:t>
      </w:r>
    </w:p>
    <w:p>
      <w:r>
        <w:rPr>
          <w:b/>
        </w:rPr>
        <w:t>E. 4.1.1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(ATF 129 IV 53 consid. 3.2 ; arrêt du Tribunal fédéral 6B_421/2008 du 21 août 2009 consid. 5.3.1). La tromperie n’a pas besoin d’être astucieuse (arrêt du Tribunal fédéral 6B_455/2008 du 26 décembre 2008 consid. 2.2.1).</w:t>
      </w:r>
    </w:p>
    <w:p>
      <w:r>
        <w:t>L'art. 110 ch. 4 CP définit comme des titres tous les écrits destinés et propres à prouver un fait ayant une portée juridique et tous les signes destinés à prouver un tel fait.</w:t>
      </w:r>
    </w:p>
    <w:p>
      <w:r>
        <w:t>Le titre doit être apte à prouver un fait ayant une portée juridique, c'est-à-dire un fait "dont dépend la naissance, l'existence, la modification, le transfert, l'extinction ou la constatation d'un droit" (B. CORBOZ, Les infractions en droit suisse, vol. I, 3e éd., Berne 2010, n. 27 ad art. 251 CP). Il n'est pas déterminant que le titre apporte à lui seul la preuve décisive, mais il suffit qu'avec d'autres moyens, il serve à prouver un fait (M. DUPUIS / B. GELLER / G. MONNIER / L. MOREILLON / C. PIGUET / C. BETTEX / D. STOLL (éds), Code pénal - Petit commentaire, Bâle 2012, n. 24 ad art. 110).</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(arrêts du Tribunal fédéral 6B_382/2011 du 26 septembre 2011 consid. 2.1 et 6B_589/2009 du 14 septembre 2009 consid. 2.1).</w:t>
      </w:r>
    </w:p>
    <w:p>
      <w:r>
        <w:t>S'agissant de la falsification d'un titre, le comportement de l'auteur peut consister à ajouter un élément au titre, modifier le titre ou en supprimer une partie (M. NIGGLI / H. WIPRÄCHTIGER, Basler Kommentar Strafrecht II : Art. 111-392 StGB, 2e éd., Bâle 2007, n. 25 s ad art. 251 ; M. DUPUIS / B. GELLER / G. MONNIER / L. MOREILLON / C. PIGUET / C. BETTEX / D. STOLL (éds), op. cit., n. 22 ad art. 251 CP).</w:t>
      </w:r>
    </w:p>
    <w:p>
      <w:r>
        <w:t>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w:t>
      </w:r>
    </w:p>
    <w:p>
      <w:r>
        <w:t>- 14/25 - P/18754/2007 situation. (ATF 133 IV 303 consid. 4.4 non publié, in arrêt du Tribunal fédéral 6B_367/2007 du 10 octobre 2007).</w:t>
      </w:r>
    </w:p>
    <w:p>
      <w:r>
        <w:rPr>
          <w:b/>
        </w:rPr>
        <w:t>E. 4.1.2</w:t>
      </w:r>
    </w:p>
    <w:p>
      <w:r>
        <w:t>L'ordonnance pénale, valant acte d'accusation, fait reproche à l'intimé d'avoir trompé ses clients en utilisant un faux, se référant aux pièces 20'098 à 21'100 de la procédure. La pièce 21'098, qui serait en réalité la pièce 21'097, est une copie d'un bordereau d'impôts ICC 2007 au nom de C______ dont il n'y a pas lieu de remettre en question l'authenticité. Les pièces 21'098 (corrigée en 21'099) et 21'099 sont deux documents au contenu identique, comportant chacun la signature légalisée le 28 septembre 2007 de L ______, non remise en cause par le Ministère public.</w:t>
      </w:r>
    </w:p>
    <w:p>
      <w:r>
        <w:t>Quand bien même la légalisation de cette signature serait effectivement intervenue après la démission du directeur de la K______, cela ne permettrait pas encore de considérer ce document comme étant un faux, puisque cette formalité peut intervenir, logiquement, postérieurement à la signature.</w:t>
      </w:r>
    </w:p>
    <w:p>
      <w:r>
        <w:t>S'agissant du contenu de ces documents à l'en-tête de la K______, l'intimé a donné des explications crédibles quant à leur création, expliquant s'être fait remettre un exemplaire original vierge par le signataire, qu'il avait scanné et utilisé afin de rédiger le texte signé avec l'aide et en la présence de son signataire.</w:t>
      </w:r>
    </w:p>
    <w:p>
      <w:r>
        <w:t>Aucun indice suffisant ne permet ainsi de penser que ce document, en double exemplaire, est un faux.</w:t>
      </w:r>
    </w:p>
    <w:p>
      <w:r>
        <w:t>S'agissant du troisième document (pièce 21'101, la pièce 21'100 en étant une traduction), toujours à l'en-tête de la K______ et daté du 4 juillet 2007, il ne fait aucune mention ni de F______ SA ni de C______, si bien qu'il n'y a aucun élément permettant de penser que ce dernier l'aurait lui-même créé.</w:t>
      </w:r>
    </w:p>
    <w:p>
      <w:r>
        <w:t>Enfin, comme relevé par le premier juge, il ressort de l'ensemble du dossier que les appelants A______ n'ont, à aucun moment, soutenu ou même suggéré que C______ se serait prévalu à leur égard - ou même aurait évoqué - l'un ou l'autre des documents argués de faux dans le cadre de la conclusion de leur contrat avec F______ SA. L'acquittement en première instance de C______ du chef de cette infraction doit partant être confirmé.</w:t>
      </w:r>
    </w:p>
    <w:p>
      <w:r>
        <w:rPr>
          <w:b/>
        </w:rPr>
        <w:t>E. 4.2</w:t>
      </w:r>
    </w:p>
    <w:p>
      <w:r>
        <w:t>Des reproches tirés de l'art. 146 CP</w:t>
      </w:r>
    </w:p>
    <w:p>
      <w:r>
        <w:rPr>
          <w:b/>
        </w:rPr>
        <w:t>E. 4.2.1</w:t>
      </w:r>
    </w:p>
    <w:p>
      <w:r>
        <w:t>; DESCHENAUX / STEINAUER, Personnes physiques et tutelle, 4e éd., 2001, n. 623 ; ATF 120 II 97 = JdT 1996 I 119). Le juge en proportionnera donc le montant et il évitera que la somme accordée n'apparaisse dérisoire à la victime. S'il s'inspire de certains précédents, il veillera à les adapter aux circonstances actuelles pour tenir compte de la dépréciation de la monnaie (ATF 129 IV 22 consid. 7.2 p. 36 s. ; ATF 125 III 269 consid. 2a p. 273-274).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p.74-75 ; ATF 120 II 97, consid. 2b p. 98 s). Constituent des atteintes particulièrement graves à la personnalité du prévenu au sens de l'art. 429 al. 1 let. c in fine CPP : une privation de liberté (par exemple s'il avait été placé en détention provisoire (N. SCHMID, Schweizerische Strafprozessordnung: Praxiskommentar, Zurich 2009, n. 10 ad art. 429), une perquisition d'un retentissement public ou si l'affaire a eu des retombées médiatiques ou familiales (M. NIGGLI / M. HEER / H. WIPRÄCHTIGER, op. cit., n. 27 ad art. 429). Une atteinte grave à la personnalité n'est pas déjà donnée par le seul poids psychique inhérent à toute procédure pénale (N. SCHMID, op. cit., n. 11 ad art. 429 ; ACPR/140/2013 du 12 avril 2013). La preuve de l'existence du dommage, son ampleur et sa relation de causalité adéquate avec la poursuite pénale introduite à tort incombent au requérant (ATF 135 IV 43 consid.</w:t>
      </w:r>
    </w:p>
    <w:p>
      <w:r>
        <w:rPr>
          <w:b/>
        </w:rPr>
        <w:t>E. 4.2.2</w:t>
      </w:r>
    </w:p>
    <w:p>
      <w:r>
        <w:t>En l'espèce, il est reproché à l'intimé d'avoir astucieusement induit les lésés en erreur, en particulier en utilisant un faux document à l'en-tête de la K______ pour faire croire qu'il disposait de l'accord de cette K______ pour l'organisation de voyages à La</w:t>
      </w:r>
    </w:p>
    <w:p>
      <w:r>
        <w:t>- 17/25 - P/18754/2007 Mecque pour les années 2007 à 2009, et lui permettant d'obtenir un certain nombre de visas pour sa future clientèle. Au vu de ce qui précède (cf. supra consid. 4.1.2.), les faits reprochés au prévenu, au titre d'escroquerie, ne peuvent se fonder sur la production ou l'utilisation d'un faux, d'autant plus que les appelants n'ont jamais prétendu avoir eu connaissance de ces documents.</w:t>
      </w:r>
    </w:p>
    <w:p>
      <w:r>
        <w:t>L'ordonnance pénale ne décrit pas d'autres comportements par lesquels C______ aurait trompé ses clients, à l'exception de son silence quant à la problématique d'obtention des visas.</w:t>
      </w:r>
    </w:p>
    <w:p>
      <w:r>
        <w:t>Or, comme l'a à juste titre relevé le premier juge, il ne se trouvait pas dans une position de garant vis-à-vis des appelants, l'obligeant à leur communiquer toutes les difficultés qu'il pouvait rencontrer dans l'organisation du pèlerinage. Bien qu'il ne soit pas épargné par la critique de ses cocontractants concernant son organisation, et qu'il ait même été sanctionné en ne pouvant plus obtenir de visas, l'intimé semble avoir toujours réussi à honorer ses engagements par le passé, fût-ce avec difficulté et retard.</w:t>
      </w:r>
    </w:p>
    <w:p>
      <w:r>
        <w:t>L'intimé a organisé le voyage des appelants et procédé à un certain nombre de réservations et de paiements dans ce but (avion et hôtel). Ce n'est que le défaut de visa pour l'appelant A______ qui est à l'origine de l'annulation de son voyage. En conséquence, à teneur du dossier, aucun élément n'indique que l'intimé avait l'intention de tromper ses deux clients et de s'enrichir à leurs dépens.</w:t>
      </w:r>
    </w:p>
    <w:p>
      <w:r>
        <w:t>L'élément de la tromperie faisant ainsi défaut, l'acquittement de l'intimé du chef d'infraction à l'art. 146 al. 1 CP sera confirmé.</w:t>
      </w:r>
    </w:p>
    <w:p>
      <w:r>
        <w:rPr>
          <w:b/>
        </w:rPr>
        <w:t>E. 5</w:t>
      </w:r>
    </w:p>
    <w:p>
      <w:r>
        <w:t>En tant qu'ils succombent, la prétention des appelants A______ en indemnisation pour les dépenses occasionnées par la procédure est rejetée.</w:t>
      </w:r>
    </w:p>
    <w:p>
      <w:r>
        <w:rPr>
          <w:b/>
        </w:rPr>
        <w:t>E. 6</w:t>
      </w:r>
    </w:p>
    <w:p>
      <w:r>
        <w:t>6.1.1. A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Selon l'alinéa 2 de cet article, l'autorité pénale examine d'office les prétentions du prévenu et peut enjoindre à celui-ci de les chiffrer et de les justifier.</w:t>
      </w:r>
    </w:p>
    <w:p>
      <w:r>
        <w:t>Tout « prévenu » au sens de l'art. 111 al. 1 CPP, c'est-à-dire toute personne soupçonnée, prévenue ou accusée d'une infraction, a le droit aux indemnités précitées (A. DONATSCH / T. HANSJAKOB / V. LIEBER (éds), Kommentar zur Schweizerischen</w:t>
      </w:r>
    </w:p>
    <w:p>
      <w:r>
        <w:t>- 18/25 - P/18754/2007 Strafprozessordnung (StPO), Zürich 2010, n. 8 ad art. 429). Une mise en prévention formelle n'est donc pas nécessaire.</w:t>
      </w:r>
    </w:p>
    <w:p>
      <w:r>
        <w:t>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w:t>
      </w:r>
    </w:p>
    <w:p>
      <w:r>
        <w:t>6.1.2. L'évaluation du dommage économique se fait en application des règles générales en matière de responsabilité civile (M. NIGGLI / M. HEER / H. WIPRÄCHTIGER, Schweizerische Strafprozessordnung / Schweizerische Jugend- strafprozessordnung, Basler Kommentar StPO/JStPO, Bâle 2011, n. 25 ad art. 429 ; A. KUHN / Y. JEANNERET (éds), op. cit., n. 41 ad art. 429 ; J. PITTELOUD, Code de procédure pénale suisse, Commentaire à l'usage des praticiens, 2012, n. 1342 p. 885 ; Y. JEANNERET / A. KUHN, Précis de procédure pénale, 2013, n. 5064).</w:t>
      </w:r>
    </w:p>
    <w:p>
      <w:r>
        <w:t>Conformément aux principes généraux, le dommage correspond à la diminution involontaire de la fortune nette. Il peut consister dans une réduction de l'actif, en une augmentation du passif ou dans un gain manqué ; il équivaut à la différence entre le montant actuel du patrimoine et le montant que celui-ci aurait atteint si l'événement dommageable ne s'était pas produit (ATF 139 V 176 consid. 8.1.1 p. 187 ss ; 133 III 462 consid. 4.4.2 p. 470 et les références citées). Le responsable n'est tenu de réparer que le dommage qui se trouve dans un rapport de causalité adéquate avec l'acte qui fonde sa responsabilité (ATF 133 III 462 consid. 4.4.2 p. 470). Il appartient au lésé de prouver non seulement l'existence et l'étendue du dommage, mais aussi le lien de causalité entre celui-ci et l'événement à la base de son action.</w:t>
      </w:r>
    </w:p>
    <w:p>
      <w:r>
        <w:t>6.1.3. A teneur de l'art. 49 CO, 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p. 29). L'ampleur de la réparation morale dépend des circonstances du cas concret, en particulier le genre et l'importance de l'atteinte subie, le degré de gravité de la faute de l'auteur du préjudice (ATF 112 II 131 = SJ 1988 p. 42 ; ATF 108 II 422 consid. 5 = JdT 1983 I 104),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w:t>
      </w:r>
    </w:p>
    <w:p>
      <w:r>
        <w:t>- 19/25 - P/18754/2007 somme d'argent, échappe à toute fixation selon des critères mathématiques, de sorte que son évaluation en chiffres ne saurait excéder certaines limites ; l'indemnité allouée doit toutefois être équitable (ATF 125 III 269 consid. 2a p.273-274). Contrairement à ce que laisse entendre le texte de l'art. 49 al. 1 CO, ce n'est pas la gravité « de l'atteinte » qui est décisive, mais la gravité de la souffrance qui a résulté de cette atteinte ; une atteinte en soi grave peut en effet n'avoir que des répercussions psychiques modestes, notamment en raison de la personnalité de la victime (ACJC/1327/2006 du 17 novembre 2006 consid.</w:t>
      </w:r>
    </w:p>
    <w:p>
      <w:r>
        <w:rPr>
          <w:b/>
        </w:rPr>
        <w:t>E. 11</w:t>
      </w:r>
    </w:p>
    <w:p>
      <w:r>
        <w:t>mars 2008 consid. 2.2). Lorsque l'indemnisation se fait sous la forme d'un capital, le demandeur a droit aux intérêts de celui-ci. Ces intérêts, dont le taux s'élève à 5% (art. 73 CO),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w:t>
      </w:r>
    </w:p>
    <w:p>
      <w:r>
        <w:t>- 20/25 - P/18754/2007 lieu immédiatement (L. THÉVENOZ / F. WERRO, Commentaire romand : Code des obligations I, Genève, Bâle, Munich, 2003, n. 19 ad art. 42 et n. 3 ad art. 104).</w:t>
      </w:r>
    </w:p>
    <w:p>
      <w:r>
        <w:t>6.2.1. En l'espèce, il ressort de la procédure que l'intimé s'était vu interdire l'obtention des visas dès 2005 déjà, qu'il avait par le passé rencontré d'importantes difficultés dans l'organisation des voyages proposés, et que celles-là avaient entaché ses relations avec ses cocontractants. Par conséquent, il ne peut être retenu que la procédure pénale ouverte à son encontre est à l'origine de la baisse de son chiffre d'affaires. Il n'a d'ailleurs fourni aucune preuve quant à la relation de cause à effet entre les plaintes déposées à son encontre et le dommage allégué, cela alors que le fardeau de la preuve lui incombe.</w:t>
      </w:r>
    </w:p>
    <w:p>
      <w:r>
        <w:t>Pour ces motifs, les prétentions de l'intimé en indemnisation pour dommage économique, à hauteur de CHF 420'000.-, seront rejetées. 6.2.2. Pour ce qui est de la prétention de l'intimé tendant au versement de CHF 40'000.- au titre de tort moral, il allègue une réputation jusqu'alors "irréprochable" de son agence de voyage, atteinte irrémédiablement par les différentes procédures pénales ouvertes contre lui et des souffrances endurées telles que pertes du sommeil, de l'appétence, crises d'angoisse liées à son avenir professionnel, ainsi qu'à celui de sa famille, etc. Il produit à l'appui de ses allégations des courriers quasi illisibles datant, pour les plus anciens, de plus de 20 ans. Il doit être constaté que le tort moral n'est ainsi pas documenté. Il ne résulte pas du dossier, et l'appelant ne l'allègue pas, que les répercussions de la procédure lui auraient causé des souffrances dépassant le seuil au-delà duquel une indemnité pour tort moral est due. Bien qu'il ait certainement souffert de cette procédure, il n'établit pas une causalité entre cette dernière et un quelconque dommage. Il n'explique par ailleurs pas davantage en quoi il aurait subi une atteinte qui excède celle que tout citoyen impliqué dans une procédure pénale doit en principe supporter sans indemnité. Or, le droit à l'indemnisation pour tort moral est légitimé par une atteinte autrement plus significative que celle qu'il a subie. Ses souffrances ne sont pas si extraordinaires qu'elles nécessiteraient réparation. En l'absence d'éléments concrets permettant de retenir l'existence d'une atteinte subjectivement grave, aucune indemnité ne peut entrer en ligne de compte. Partant, les conditions à l'octroi d'une indemnité en réparation du tort moral ne sont pas réalisées. La prétention formulée à ce titre doit dès lors être rejetée. 7. 7.1. Les appelants A______, qui succombent, supporteront chacun ¼, soit la moitié des frais de la procédure d'appel envers l'Etat, comprenant un émolument de jugement de CHF 3'000.- (art. 427 al. 1 let. a CPP). 7.2. Dans la mesure où C______ succombe intégralement dans ses conclusions en indemnisation, il sera condamné au paiement du 1/4 des frais de la procédure d'appel (art. 428 al. 1 CPP).</w:t>
      </w:r>
    </w:p>
    <w:p>
      <w:r>
        <w:t>- 21/25 - P/18754/2007 7.3. Le solde des frais de la procédure, soit 1/4, sera laissé à charge de l'Etat, vu la qualité de l'appelant joint (art. 428 al. 1 CPP). 8. 8.1.1.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8.1.2.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w:t>
      </w:r>
    </w:p>
    <w:p>
      <w:r>
        <w:t>- 22/25 - P/18754/2007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t>8.2. Me D______ a été désigné défenseur d'office de l’intimé le 26 mars 2010.</w:t>
      </w:r>
    </w:p>
    <w:p>
      <w:r>
        <w:t>Le 24 mars 2015, il a adressé sa note d’honoraires à la CPAR au montant de CHF 10'321.50 hors TVA. S'agissant de l'activité déployée devant la juridiction d'appel, soit à partir du 14 mars 2014, elle est composée de 51h35 au tarif de chef d’étude, soit CHF 200.-.</w:t>
      </w:r>
    </w:p>
    <w:p>
      <w:r>
        <w:t>L'état de frais de Me D______, manifestement excessif, sera admis à hauteur de 4 heures pour le poste "conférence", de 6 heures 30 minutes pour les diverses écritures déposées à la CPAR, de 30 minutes pour la préparation du bordereau de pièces du 19 mars 2015, de 6 heures pour le réexamen du dossier, la préparation de l'audience d'appel et de la plaidoirie, ne comportant pas de difficultés par rapport aux débats de première instance et limitées aux seules conclusions des époux A______, et de 2 heures 45 minutes pour les débats d'appel du 23 mars 2015, soit un total de 19h45 au tarif horaire de CHF 200.-, correspondant à CHF 3'950.-, plus forfait de 10%, vu les heures facturées en première instance, et la TVA à</w:t>
      </w:r>
    </w:p>
    <w:p>
      <w:r>
        <w:t>- 23/25 - P/18754/2007 8%. Les autres heures facturées concernent des prestations non justifiées et ne seront donc pas indemnisées. * * * * *</w:t>
      </w:r>
    </w:p>
    <w:p>
      <w:r>
        <w:t>- 24/25 - P/18754/2007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