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AARP/230/2012 vom 2. August 2012</w:t>
      </w:r>
    </w:p>
    <w:p>
      <w:r>
        <w:t>GE Cour de justice, 2012-08-02, FR</w:t>
      </w:r>
    </w:p>
    <w:p>
      <w:r>
        <w:rPr>
          <w:b/>
        </w:rPr>
        <w:t xml:space="preserve">Quelle: </w:t>
      </w:r>
      <w:r>
        <w:t>https://mcp.opencaselaw.ch/entscheid/ge_gerichte_AARP_230_2012</w:t>
      </w:r>
    </w:p>
    <w:p>
      <w:r>
        <w:t>FR: GE_GERICHTE AARP/230/2012 du 2 août 2012</w:t>
      </w:r>
    </w:p>
    <w:p>
      <w:r>
        <w:t>IT: GE_GERICHTE AARP/230/2012 del 2 agosto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En l'espèce, l'appelant conteste uniquement la quotité de la peine privative de liberté qui lui a été infligée et le refus de toute mesure de sursis.</w:t>
      </w:r>
    </w:p>
    <w:p>
      <w:r>
        <w:t>La Chambre limite son examen aux violations décrites dans l'acte d'appel (art. 404 al. 1 CPP), sauf en cas de décisions illégales ou inéquitables (art. 404 al. 2 CPP).</w:t>
      </w:r>
    </w:p>
    <w:p>
      <w:r>
        <w:rPr>
          <w:b/>
        </w:rPr>
        <w:t>E. 2</w:t>
      </w:r>
    </w:p>
    <w:p>
      <w:r>
        <w:t>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w:t>
      </w:r>
    </w:p>
    <w:p>
      <w:r>
        <w:t>S'agissant de la quantité pour la cocaïne, la condition est objectivement remplie, selon la jurisprudence développée sous l'ancien droit, dès que l'infraction porte sur</w:t>
      </w:r>
    </w:p>
    <w:p>
      <w:r>
        <w:t>- 4/10 - P/12325/2011 une quantité contenant 18 grammes de substance pure (ATF 109 IV 143 consid. 3b p. 145 ; arrêt du Tribunal fédéral 6B_632/2008 du 10 mars 2009 consid. 2 ; B. CORBOZ, Les infractions en droit suisse, 3e édition, Berne 2010, vol. II, n. 81 p. 917).</w:t>
      </w:r>
    </w:p>
    <w:p>
      <w:r>
        <w:t>La peine à laquelle le prévenu peut être condamné est alors d’un an au moins et de vingt ans au plus.</w:t>
      </w:r>
    </w:p>
    <w:p>
      <w:r>
        <w:rPr>
          <w:b/>
        </w:rPr>
        <w:t>E. 3</w:t>
      </w:r>
    </w:p>
    <w:p>
      <w:r>
        <w:t>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3.1</w:t>
      </w:r>
    </w:p>
    <w:p>
      <w:r>
        <w:t>Les critères énumérés, de manière non exhaustive, par cette disposition légale correspondent à ceux fixés par l'article 63 aCP et la jurisprudence élaborée en application de cette ancienne disposition. Cette jurisprudence conserve toute sa valeur, de sorte que l'on peut continuer à s'y référer (arrêt du Tribunal fédéral 6B_992/2008 du 5 mars 2009 consid. 5.1).</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w:t>
      </w:r>
    </w:p>
    <w:p>
      <w:r>
        <w:t>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w:t>
      </w:r>
    </w:p>
    <w:p>
      <w:r>
        <w:t>- 5/10 - P/12325/2011 l'importation en Suisse de drogues a des répercussions plus graves que le seul transport à l'intérieur des frontières.</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3.3</w:t>
      </w:r>
    </w:p>
    <w:p>
      <w:r>
        <w:t>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arrêts du Tribunal fédéral 6B_646/2008 du 23 avril 2009 consid. 4.3.2 et 6B_708/2008 du 22 octobre 2008 consid. 3.2 et les références citées).</w:t>
      </w:r>
    </w:p>
    <w:p>
      <w:r>
        <w:rPr>
          <w:b/>
        </w:rPr>
        <w:t>E. 3.4</w:t>
      </w:r>
    </w:p>
    <w:p>
      <w:r>
        <w:t>Le trafic incriminé était de nature internationale, impliquant le passage par des frontières, qui ne sont pas pour autant nécessairement surveillées, s'agissant d'un trajet entre des pays membres de l'espace Schengen. Les renseignements fournis par des autorités étrangères à celles helvétiques font état à tout le moins de deux condamnations aux Pays-Bas, ainsi que d'une troisième en Belgique, selon les aveux de l'appelant. Le rapport de police figurant au dossier sur ce dernier point n'étant pas des plus complets, il convient de ne pas tenir compte de cette dernière sanction. Outre la quantité de stupéfiants, il y a lieu donc de retenir l'enracinement durable de l'appelant dans la délinquance, condamné à l'étranger pour des infractions du même genre.</w:t>
      </w:r>
    </w:p>
    <w:p>
      <w:r>
        <w:t>On ne saurait nier l'impact de la détention de l'appelant sur la situation économique de son enfant, qui réside au Ghana. S'agissant des circonstances affectives, il y a lieu de relever que l'intéressé était établi dans un pays européen et sa fille dans un pays africain, de telle sorte que les contacts ne pouvaient être particulièrement intenses.</w:t>
      </w:r>
    </w:p>
    <w:p>
      <w:r>
        <w:t>L'appelant a fait certains aveux quant à ses antécédents au début de l'enquête mais ses déclarations lors de la suite de l'instruction préalable résultent pour partie de questions qui lui ont été posées sur la base des résultats de l'enquête, sans qu'elles ne permettent - par exemple - l'identification des personnes à qui la cocaïne transportée par l'appelant était destinée. Sa collaboration ne saurait donc être qualifiée de particulièrement méritoire.</w:t>
      </w:r>
    </w:p>
    <w:p>
      <w:r>
        <w:t>- 6/10 - P/12325/2011</w:t>
      </w:r>
    </w:p>
    <w:p>
      <w:r>
        <w:t>Il fait état d'une formation dans le domaine de la métallurgie et d'une activité lucrative dans celui du commerce des fleurs, de telle sorte que son enracinement dans le trafic des stupéfiants se comprend mal. Quant aux menaces dont il dit être l'objet, elles auraient pu être utilement rapportées aux autorités de police du pays de résidence de l'appelant, les Pays-Bas.</w:t>
      </w:r>
    </w:p>
    <w:p>
      <w:r>
        <w:t>Au regard de la peine-menace de vingt ans, une peine privative de liberté de trois ans, infligée à un récidiviste pour le transport international de près d’un kilogramme de cocaïne dont le taux de pureté aurait permis une plus ample dilution avant la mise sur le marché, est conforme à la loi et à la jurisprudence.</w:t>
      </w:r>
    </w:p>
    <w:p>
      <w:r>
        <w:rPr>
          <w:b/>
        </w:rPr>
        <w:t>E. 3.5</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rPr>
          <w:b/>
        </w:rPr>
        <w:t>E. 3.5.1</w:t>
      </w:r>
    </w:p>
    <w:p>
      <w:r>
        <w:t>Le nouveau droit pose des exigences moins élevées quant au pronostic pour l'octroi du sursis. Auparavant, il fallait que le pronostic soit favorable. Désormais, il suffit qu'il n'y ait pas de pronostic défavorable. Le cadre élargi défini par le nouveau droit pour la fixation de la peine ne justifie plus une relativisation de la limite légale permettant l'octroi du sursis ou du sursis partiel (ATF 134 IV 17 consid. 3 p. 22). Dans ce sens, la jurisprudence inaugurée avec l'ATF 118 IV 337 n'a plus cours. Cependant, lorsque la peine entrant en considération se situe dans un intervalle dont les bornes comprennent la limite supérieure à l'octroi du sursis (24 mois), du sursis partiel (36 mois) ou de la semi-détention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24-25). Dans tous les cas, le juge doit motiver sa décision, sous peine de violer son obligation de motivation prévue à l'art. 50 CP (ATF 134 IV 17 consid. 3.6 p. 25).</w:t>
      </w:r>
    </w:p>
    <w:p>
      <w:r>
        <w:rPr>
          <w:b/>
        </w:rPr>
        <w:t>E. 3.5.2</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w:t>
      </w:r>
    </w:p>
    <w:p>
      <w:r>
        <w:t>- 7/10 - P/12325/2011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w:t>
      </w:r>
    </w:p>
    <w:p>
      <w:r>
        <w:t>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précité p. 1856). Mais cette réserve doit être rapprochée de celle de l'ordre public (Arrêts du Tribunal fédéral 6B_244/2010 du 4 juin 2010 consid. 1 et 6S_253/2004 du 3 novembre 2004 consid. 4 ; cf. également M. NIGGLI / H. WIPRÄCHTIGER, Basler Kommentar Strafrecht I : Art. 1-110 StGB, Jugendstrafgesetz, 2e éd., Bâle 2007, n. 90 ad art. 42).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rPr>
          <w:b/>
        </w:rPr>
        <w:t>E. 3.5.3</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qui doit toutefois motiver sa décision de manière suffisante (cf. art. 50 CP) afin de permettre de vérifier s'il a été tenu compte de tous les éléments pertinents et comment ils ont été appréciés (cf. ATF 134 IV 1, consid. 4.2.1 p. 5).</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w:t>
      </w:r>
    </w:p>
    <w:p>
      <w:r>
        <w:rPr>
          <w:b/>
        </w:rPr>
        <w:t>E. 3.5.4</w:t>
      </w:r>
    </w:p>
    <w:p>
      <w:r>
        <w:t>L’appelant a été condamné à deux reprises aux Pays-Bas à des peines égales ou supérieures à six mois dans les cinq ans précédant la dernière infraction commise en Suisse pour des faits semblables. Ses déclarations démontrent un enracinement dans la délinquance, le trafic de stupéfiants devenant une source régulière de revenus alors même que l’intéressé travaille et dispose d’une formation professionnelle. Le</w:t>
      </w:r>
    </w:p>
    <w:p>
      <w:r>
        <w:t>- 8/10 - P/12325/2011 pronostic est clairement défavorable et les premiers juges ont à juste titre exclu la possibilité d’un sursis, même partiel.</w:t>
      </w:r>
    </w:p>
    <w:p>
      <w:r>
        <w:rPr>
          <w:b/>
        </w:rPr>
        <w:t>E. 4</w:t>
      </w:r>
    </w:p>
    <w:p>
      <w:r>
        <w:t>L'appelant, qui succombe, devra supporter les frais de la procédure envers l'État (art. 428 CPP). * * * * *</w:t>
      </w:r>
    </w:p>
    <w:p>
      <w:r>
        <w:t>- 9/10 - P/12325/2011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