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AARP/228/2022 vom 10. August 2022</w:t>
      </w:r>
    </w:p>
    <w:p>
      <w:r>
        <w:t>GE Cour de justice, 2022-08-10, FR</w:t>
      </w:r>
    </w:p>
    <w:p>
      <w:r>
        <w:rPr>
          <w:b/>
        </w:rPr>
        <w:t xml:space="preserve">Quelle: </w:t>
      </w:r>
      <w:r>
        <w:t>https://mcp.opencaselaw.ch/entscheid/ge_gerichte_AARP_228_2022</w:t>
      </w:r>
    </w:p>
    <w:p>
      <w:r>
        <w:t>FR: GE_GERICHTE AARP/228/2022 du 10 août 2022</w:t>
      </w:r>
    </w:p>
    <w:p>
      <w:r>
        <w:t>IT: GE_GERICHTE AARP/228/2022 del 10 agosto 2022</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t>- 9/25 - P/872/2020</w:t>
      </w:r>
    </w:p>
    <w:p>
      <w:r>
        <w:rPr>
          <w:b/>
        </w:rPr>
        <w:t>E. 2.1</w:t>
      </w:r>
    </w:p>
    <w:p>
      <w:r>
        <w:t>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p. 4 ;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w:t>
      </w:r>
    </w:p>
    <w:p>
      <w:r>
        <w:rPr>
          <w:b/>
        </w:rPr>
        <w:t>E. 2.2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w:t>
      </w:r>
    </w:p>
    <w:p>
      <w:r>
        <w:t>- 10/25 - P/872/2020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(ATF 135 IV 152 consid. 2.3.2.2).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 5.2.). La violence des coups portés constitue également un élément déterminant dans la qualification juridique (arrêt du Tribunal fédéral 6B_1385/2019 du 27 février 2020 c. 4.3.1). Néanmoins, il n’est pas incompatible de retenir que l’auteur a, par dol éventuel, l'intention de blesser gravement sa victime tout en niant l’intention homicide (arrêt du Tribunal fédéral 6B_802/2013 du 27 janvier 2014 consid. 2.3.4).</w:t>
      </w:r>
    </w:p>
    <w:p>
      <w:r>
        <w:rPr>
          <w:b/>
        </w:rPr>
        <w:t>E. 2.3</w:t>
      </w:r>
    </w:p>
    <w:p>
      <w:r>
        <w:t>Il y a tentative lorsque l'auteur a réalisé tous les éléments subjectifs de l'infraction et manifesté sa décision de la commettre, alors que les éléments objectifs font, en tout ou en partie, défaut (ATF 140 IV 150 consid. 3.4). La tentative de meurtre est donc retenue,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Il importe cependant que les coups portés aient objectivement exposé la victime à un risque de mort (arrêt du Tribunal fédéral 6B_86/2019 du 8 février 2019 consid. 2.1 et les références citées). La distinction entre une tentative d’homicide (art. 22 et 111 CP) et des lésions corporelles graves au sens de l’art. 122 CP (réalisées ou tentées) tient ainsi essentiellement à l’intention de l’auteur. Si celle-ci englobe, même au titre du dol éventuel, le décès de la victime, les faits doivent être qualifiés de tentative de meurtre.</w:t>
      </w:r>
    </w:p>
    <w:p>
      <w:r>
        <w:t>- 11/25 - P/872/2020</w:t>
      </w:r>
    </w:p>
    <w:p>
      <w:r>
        <w:rPr>
          <w:b/>
        </w:rPr>
        <w:t>E. 2.4</w:t>
      </w:r>
    </w:p>
    <w:p>
      <w:r>
        <w:t>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Le comportement punissable consiste, de la part de celui qui a causé la blessure, à ne pas prêter secours à la personne blessée (B. CORBOZ, Les infractions en droit suisse, 3ème éd., Berne 2010, n. 10 ad art. 128). Cette disposition réprime un délit de mise en danger abstraite par pure omission (ATF 121 IV 18 consid. 2a p. 20).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consid. 2a p. 20 s.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(arrêts du Tribunal fédéral 6B_508/2020 du 7 janvier 2021 consid. 3.4.1 ; 6B_143/2020 du 1er avril 2020 consid. 4.1). Sur le plan subjectif, l'infraction sanctionnée par l'art. 128 CP est intentionnelle (art. 12 al. 1 et 128 CP a contrario ; ATF 116 IV 19 consid. 3 in fine, p. 23). La négligence ne suffit pas (art. 12 al. 1 et 128 CP a contrario ; ATF 116 IV 19 précité consid. 3 in fine ; arrêt du Tribunal fédéral 6B_796/2013 du 30 juin 2014 consid. 2.1.2). La délimitation entre dol éventuel (art. 12 al. 2 2ème phrase CP) et négligence consciente (art. 12 al. 3 CP) peut se révéler délicate (arrêt du Tribunal fédéral 6B_796/2013 précité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137 IV 1 consid. 4.2.3 p. 4 ; 133 IV 222 consid. 5.3 p. 225).</w:t>
      </w:r>
    </w:p>
    <w:p>
      <w:r>
        <w:rPr>
          <w:b/>
        </w:rPr>
        <w:t>E. 2.5</w:t>
      </w:r>
    </w:p>
    <w:p>
      <w:r>
        <w:t>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w:t>
      </w:r>
    </w:p>
    <w:p>
      <w:r>
        <w:t>- 12/25 - P/872/2020 (ATF 111 IV 124 consid. 2b). Une telle solution ne paraît défendable que dans la mesure où la nécessité de prêter secours ne résulte pas exclusivement des lésions infligées de façon intentionnelle (G. STRATENWERTH / G. JENNY, op. cit., § 4 n. 80 ; A. DONATSCH, Garantenpflicht – Pflicht zur Notwehr und Notstandshilfe, RPS 1989, p. 57). Ainsi, le concours réel subsiste pour autant que les blessures infligées à la victime aient dépassé le résultat voulu par l’auteur (arrêt du Tribunal fédéral 6P.113/2005 du 25 mars 2006, consid. 8.4.2). 2.6.1. En l’espèce, le déroulement des faits tel que retenu par les premiers juges et non contesté par le prévenu appelant permet de retenir que celui-ci a porté dans un premier temps (devant le F______) au minimum sept violents coups à la tête de la victime. Celle-ci n’est pas tombée et n’a pas non plus réagi aux coups. Dans un second temps (sur la place 2______), le prévenu a fracturé le tibia de la victime, en lui portant un coup de pied en rotation dans la région du genou. Il a ensuite frappé sèchement le plaignant, le faisant chuter et lui portant encore un voire plusieurs coups de pied alors qu’il était au sol, et deux coups alors qu’il s’était relevé et s’éloignait. Il l’a ensuite frappé à nouveau violemment, le faisant à nouveau tomber ; quand sa victime est restée allongée, le prévenu a immédiatement cessé de la frapper (cf. JTCO consid. Da. p. 13). 2.6.2. Le prévenu a ainsi porté de très nombreux coups au visage de sa victime, sans qu’il ne puisse être reproché à celle-ci d’avoir pris une part active à l’agression. S’il est certain que le prévenu a été affecté par les propos du plaignant lui reprochant son attitude cavalière, ceux-ci, aussi forts qu’ils aient pu être, ne sont pas de nature à justifier un tel déchaînement de violence. Contrairement à ce qu’a pu plaider le conseil du prévenu, la victime n’a eu aucun geste physique à son encontre et ne l’a notamment pas agrippé dans le F______. La première partie de l’altercation, au sein de cet établissement, n’a, du reste, pas eu de conséquence, les lésions importantes du plaignant étant survenues sur la Place 2______. Aucun reproche ne peut être fait au plaignant dans cette séquence. Celui-ci s’est certes approché de son agresseur, prenant le risque de s’exposer à nouveau à sa violence, risque qui s’est malheureusement concrétisé. Le prévenu, qui était au sein d’un groupe de plusieurs personnes, entouré de ses amis, ne prétend pas sérieusement s’être senti agressé par une personne seule, portant un sac de nourriture, qui ne présentait aucun signe d’agressivité et ne constituait pas un danger pour lui. Dans cette phase, le prévenu a porté au moins un coup de pied à la tête de sa victime à terre. Or, s’il peut encore être retenu que des coups en cascade, portés rapidement et successivement au visage d’une personne debout, ne sont pas susceptibles de mettre sa vie en danger, tel n’est pas le cas d’un coup de pied violent porté à la tête d'une personne au sol. Comme relevé par le Tribunal fédéral, même une personne impulsive comme le prévenu doit avoir, dans une telle situation, et d’autant plus après avoir déjà porté plusieurs coups au visage de la victime, conscience du risque</w:t>
      </w:r>
    </w:p>
    <w:p>
      <w:r>
        <w:t>- 13/25 - P/872/2020 de survenance d’une hémorragie cérébrale et donc d’une issue fatale. En portant un tel coup, le prévenu ne pouvait donc qu’avoir conscience de ce risque. La violence extrême dont a fait preuve le prévenu dans ces circonstances ne peut ainsi qu’être qualifiée de tentative de meurtre par dol éventuel, au sens de la jurisprudence susmentionnée. L’appel de la partie plaignante et l’appel joint du MP doivent être admis et le jugement entrepris réformé sur ce point. 2.6.2. Après avoir reçu ces nombreux coups, le plaignant s’est relevé et a quitté les lieux pour rentrer à son domicile. A son arrivée aux HUG, son état n’a pas été considéré comme présentant une urgence vitale avant que les examens radiologiques (CT-Scanner cérébral) ne mettent en évidence l’hématome épidural et le saignement intracrânien ; il s’est écoulé près de trois heures entre sa prise en charge par l’ambulance et la qualification d’extrême urgence, l’examen neurologique n’ayant pas révélé la gravité de l’atteinte (cf. C-98-99). Dans ces circonstances, il importe finalement peu de déterminer si le plaignant est parti immédiatement ou s’il est resté quelques minutes sur place, comme semblent le montrer les images de la fin de la séquence de vidéosurveillance où l’on voit une personne lui ressemblant s’éloigner de la place 2______. D’une part, même s’il s’agit du plaignant, il est possible qu’il se soit rapidement éloigné de la scène avant de reprendre ses forces et ses esprits hors du champ de la caméra, et de ne réapparaître qu’après plusieurs minutes. D’autre part et surtout, il est établi par ses propres déclarations que le plaignant ne se trouvait pas, immédiatement après avoir reçu les coups de son agresseur, dans une situation où le besoin d’une aide immédiate était apparent. La très grave lésion occasionnée n’était pas visible, puisque même les médecins ne l’ont constatée qu’à l’examen des résultats de l’imagerie médicale. Le blessé a quitté les lieux par ses propres moyens, pour rentrer chez lui, sans nécessité visible d’une aide médicale. Il n’a même, initialement, pas souhaité appeler une ambulance, ce qu’il ne s’est résolu à faire que lorsque les services de consultation à domicile, surchargés, lui ont indiqué un temps d’attente trop important. Dans de telles circonstances, indépendamment de savoir si le prévenu a, comme il le soutient, proposé un verre d’eau et apporté son aide au blessé (ce qui n’est confirmé par personne), il ne peut pas lui être reproché une omission de prêter secours, puisque la nécessité d’un tel secours n’était pas manifeste, au contraire. L’appel sur ce point doit être rejeté et le jugement entrepris, en tant qu’il acquitte le prévenu d’omission de prêter secours, sera confirmé.</w:t>
      </w:r>
    </w:p>
    <w:p>
      <w:r>
        <w:rPr>
          <w:b/>
        </w:rPr>
        <w:t>E. 3.1</w:t>
      </w:r>
    </w:p>
    <w:p>
      <w:r>
        <w:t>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w:t>
      </w:r>
    </w:p>
    <w:p>
      <w:r>
        <w:t>- 14/25 - P/872/2020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w:t>
      </w:r>
    </w:p>
    <w:p>
      <w:r>
        <w:rPr>
          <w:b/>
        </w:rPr>
        <w:t>E. 3.2</w:t>
      </w:r>
    </w:p>
    <w:p>
      <w:r>
        <w:t>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Si, en raison de la nouvelle infraction, les conditions d'une peine privative de liberté ferme sont réunies et que celle-ci entre en concours avec le solde de la peine devenu exécutoire à la suite de la révocation, le juge prononce, en vertu de l'art. 49 CP, une peine d'ensemble. Lors de la fixation de la peine d'ensemble, la nouvelle peine, en tant que « peine de départ », doit être augmentée en raison de la peine révoquée par application analogique du principe de l'aggravation (ATF 145 IV 146 consid. 2.4 p. 153s.).</w:t>
      </w:r>
    </w:p>
    <w:p>
      <w:r>
        <w:rPr>
          <w:b/>
        </w:rPr>
        <w:t>E. 3.3</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t>- 15/25 - P/872/2020</w:t>
      </w:r>
    </w:p>
    <w:p>
      <w:r>
        <w:rPr>
          <w:b/>
        </w:rPr>
        <w:t>E. 3.4</w:t>
      </w:r>
    </w:p>
    <w:p>
      <w:r>
        <w:t>La tentative de meurtre reprochée en l’espèce est le résultat d’une explosion incontrôlée de colère et de violence. Le prévenu s’en est pris à sa victime pour un motif futile, de façon extrêmement brutale, la rouant de coups de poing et de pied alors qu’elle ne lui avait rien fait et ne se défendait même pas. Sa motivation est difficilement compréhensible et semble se résumer à une colère incontrôlée doublée d’une volonté de détruire son adversaire. La gratuité des actes commis conduit à retenir une faute extrêmement lourde. La responsabilité très faiblement restreinte retenue à dire d’expert en raison de l’impulsivité du prévenu et d’une réactivité exacerbée à la frustration, conduit à caractériser la faute de très lourde. Les conséquences des actes commis ont eu des répercussions extrêmement importantes pour la victime, dont la vie est complètement bouleversée depuis la nuit des faits et qui doit affronter, vraisemblablement sa vie durant, les conséquences dramatiques des lésions subies. Les faits en sont restés au stade de la tentative essentiellement grâce à la prise en charge médicale intensive, qui a permis de résorber l’hématome et le saignement, ce qui a permis d’éviter une issue fatale, les experts ayant relevé que la vie du blessé n’a pas été mise en danger pendant sa prise en charge. Au moment des faits, le prévenu se trouvait encore dans le délai d’épreuve de la libération conditionnelle octroyée en mars 2019, et bénéficiait d’une assistance de probation dont il n’a manifestement pas su tirer parti. Sa relative oisiveté au moment des faits n’explique ni n’excuse son comportement, au contraire. Il n’était pas sans ressources puisque sa mère et sa grand-mère n’ont jamais cessé de le soutenir, et qu’il avait la possibilité – voire l’obligation – de s’adresser au service de probation pour obtenir son soutien. Il pouvait contacter des professionnels compétents pour remédier à ses consommations problématiques. Il n’a toutefois jamais saisi à leur juste valeur ces opportunités de rester dans le droit chemin ; au moment des faits, il avait d’ailleurs commencé à se soustraire au suivi mis en place (rendez-vous manqués au SPI, interruption du suivi psychothérapeutique, abandon de son poste de travail, expulsion de son hébergement et consommation de cannabis). S’il expose avoir reçu des nouvelles inquiétantes au sujet de son fils peu avant les faits, cette circonstance n’explique ni ne justifie son passage à l’acte, dans un contexte complétement différent et sans lien aucun avec ces informations ; l’impulsivité et l’incapacité à contrôler ses réactions sont déjà prises en compte dans le cadre de la responsabilité restreinte. Il bénéficiait d’un encadrement familial chaleureux, puisque tant sa mère que sa grand-mère étaient présentes dans sa vie. Rien n’explique ainsi son geste.</w:t>
      </w:r>
    </w:p>
    <w:p>
      <w:r>
        <w:t>- 16/25 - P/872/2020 Le prévenu n’a pas non plus su tirer les leçons d’une précédente condamnation et de son incarcération pourtant relativement longue. Il faut espérer que les nouvelles dispositions présentées aux débats d’appel soient sincères et qu’il saisisse enfin l’occasion de remédier à son trouble de la personnalité dyssociale et trouver une voie pour réintégrer, à l’issue de sa détention, la société sans perturber encore la paix et l’ordre publics. Sa prise de conscience n’en est toutefois qu’à ses débuts et il ne peut à ce stade être exclu qu’elle procède plus de considérations tactiques, en lien avec la procédure d’appel, que d’une réelle volonté d’amendement. Seule une peine privative de liberté entre en ligne de compte en l’espèce. Au vu du crime commis pendant le délai d’épreuve, la libération conditionnelle dont le prévenu a bénéficié doit être révoquée et la peine restante (de dix mois et un jour) exécutée ; le prévenu doit ainsi être condamné à une peine d’ensemble conformément à l’art. 49 CP. Les faits du 11 janvier 2020 emportent une peine privative de liberté théorique de cinq ans, laquelle sera ramenée à quatre ans et demi pour tenir compte de la faute réduite liée à la responsabilité faiblement restreinte, mais également de la situation personnelle du prévenu et de ses antécédents. La peine d’ensemble, tenant compte de la révocation de la libération conditionnelle doit ainsi être fixée à cinq ans. L’appel du MP sur ce point est ainsi admis.</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meurtre (let. a).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Malgré la formulation potestative de la norme, le juge de l’expulsion est tenu d'examiner si les conditions de l'art. 66a al. 2 CP sont réalisées et de renoncer à ordonner l'expulsion dans cette hypothèse (ATF 144 IV 332 consid. 3.3 p. 339).</w:t>
      </w:r>
    </w:p>
    <w:p>
      <w:r>
        <w:rPr>
          <w:b/>
        </w:rPr>
        <w:t>E. 4.2</w:t>
      </w:r>
    </w:p>
    <w:p>
      <w:r>
        <w:t>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w:t>
      </w:r>
    </w:p>
    <w:p>
      <w:r>
        <w:t>- 17/25 - P/872/2020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La deuxième phrase de l'art. 66a al. 2 CP impose expressément de prendre en considération la situation particulière de l'étranger qui est né ou qui a grandi en</w:t>
      </w:r>
    </w:p>
    <w:p>
      <w:r>
        <w:t>- 18/25 - P/872/2020 Suisse. L'examen de la clause de rigueur doit être effectué dans chaque cas sur la base des critères d'intégration habituels.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On tiendra alors particulièrement compte de l'intensité des liens de l'étranger avec la Suisse et des difficultés de réintégration dans son pays d'origine (ATF 146 IV 105 consid. 3.4.4 p. 109; 144 IV 332 consid. 3.3.2 et 3.3.3 et les arrêts cités ; arrêt du Tribunal fédéral 6B_153/2020 du 28 avril 2020 consid. 1.4.1). Pour déterminer les intérêts publics au sens de cette disposition et les pondérer par rapport aux intérêts privés, la nature et la gravité de l'infraction commise, la dangerosité que représente l'auteur pour la sécurité publique et le pronostic concernant le risque de récidive sont au premier plan. S'agissant du risque de réitération, le tribunal peut également prendre en compte les infractions commises par l'étranger avant l'entrée en vigueur de l'art. 66a CP.</w:t>
      </w:r>
    </w:p>
    <w:p>
      <w:r>
        <w:rPr>
          <w:b/>
        </w:rPr>
        <w:t>E. 4.3</w:t>
      </w:r>
    </w:p>
    <w:p>
      <w:r>
        <w:t>En l’espèce, le prévenu est relativement bien intégré en Suisse, où il est arrivé à l’âge de 12 ans. Il parle couramment le français et dispose, comme l’a montré la procédure, d’un large cercle d’amis à Genève. S’il ne peut pas se prévaloir de la relation (inexistante à l’heure actuelle) avec son fils, une expulsion le mettrait néanmoins dans une situation personnelle grave au vu de ses liens étroits avec notre pays, comme cela avait déjà été retenu lors de sa condamnation en 2017. Son parcours scolaire et professionnel laisse certes à désirer, puisqu’il n’a jamais achevé une formation et dépendait de prestations de l’hospice général pour sa subsistance. Ses perspectives sont toutefois encore bonnes, au vu de son âge encore jeune et de l’évolution de sa disposition par rapport à la prise en charge thérapeutique imposée par les premiers juges, qu’il ne conteste pas et à laquelle il semble enfin adhérer. La longue détention devrait permettre à cette mesure de prendre effet. Cette incarcération le contraindra également à se recentrer sur ses objectifs de formation, qu’il semble avoir pris concrètement en mains. Toute sa famille vit en Suisse. Ses perspectives d’intégration en Suisse à l’issue de la détention pénale sont ainsi intactes et doivent être qualifiées de bonnes. En cas de renvoi en Colombie, le prévenu se trouvera dans une situation extrêmement précaire. Même s’il devait pouvoir rapidement retrouver toutes ses capacités linguistiques, puisqu’il n’a parlé qu’espagnol pendant les premières années de sa vie, il n’a aucune attache et aucune perspective réelle d’intégration dans ce</w:t>
      </w:r>
    </w:p>
    <w:p>
      <w:r>
        <w:t>- 19/25 - P/872/2020 pays. Sa prise en charge thérapeutique, essentielle à une intégration réussie et à la prévention de la récidive, en souffrirait fortement. Le prévenu se trouverait ainsi confronté à des difficultés de réintégration très élevées. L’intérêt public à l’expulsion est important, au vu du parcours pénal chaotique du prévenu et de ses condamnations répétées malgré son âge encore jeune. Ce nonobstant, compte tenu des effets bénéfiques attendus de la prise en charge thérapeutique et de la formation en détention, qui sont susceptibles de diminuer le risque de récidive et donc l’intérêt public à l’expulsion, il faut retenir, bien qu’il s’agisse d’un cas extrêmement limite, que l’intérêt privé de l’appelant à rester en Suisse l’emporte encore sur l’intérêt public à son expulsion. Il sera donc renoncé au prononcé de l’expulsion et le jugement entrepris sera réformé en ce sens.</w:t>
      </w:r>
    </w:p>
    <w:p>
      <w:r>
        <w:rPr>
          <w:b/>
        </w:rPr>
        <w:t>E. 5.1</w:t>
      </w:r>
    </w:p>
    <w:p>
      <w:r>
        <w:t>En vertu de l'art. 126 al. 1 let. a. CPP, le tribunal statue sur les prétentions civiles présentées lorsqu'il rend un verdict de culpabilité à l'encontre du prévenu.</w:t>
      </w:r>
    </w:p>
    <w:p>
      <w:r>
        <w:rPr>
          <w:b/>
        </w:rPr>
        <w:t>E. 5.2</w:t>
      </w:r>
    </w:p>
    <w:p>
      <w:r>
        <w:t>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du Tribunal fédéral 6B_1137/2018 du 14 février 2019 consid. 6.3).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(A. KUHN / Y. JEANNERET (éds), Commentaire romand : Code de procédure pénale suisse, Bâle 2019, n. 13 ad art. 124 CPP).</w:t>
      </w:r>
    </w:p>
    <w:p>
      <w:r>
        <w:rPr>
          <w:b/>
        </w:rPr>
        <w:t>E. 5.3</w:t>
      </w:r>
    </w:p>
    <w:p>
      <w:r>
        <w:t>En l’espèce, le prévenu a acquiescé à l’intégralité des conclusions civiles de la partie plaignante. La CPAR fera donc droit à ces conclusions ; dans la mesure toutefois où les conclusions déposées tiennent compte d’une indemnisation pour six heures d’activité aux débats d’appel, qui n’en ont duré que cinq, la rémunération pour les débats de première instance sera calculée sur la base de neuf heures d’activité, soit CHF 4’050.- plus la TVA en CHF 311.85.</w:t>
      </w:r>
    </w:p>
    <w:p>
      <w:r>
        <w:rPr>
          <w:b/>
        </w:rPr>
        <w:t>E. 6.1</w:t>
      </w:r>
    </w:p>
    <w:p>
      <w:r>
        <w:t>Le prévenu obtient gain de cause dans son appel mais succombe partiellement face à l’appel principal de la partie plaignante et intégralement sur l'appel joint du</w:t>
      </w:r>
    </w:p>
    <w:p>
      <w:r>
        <w:t>- 20/25 - P/872/2020 MP. Il sera dès lors condamné au paiement de la moitié des frais de la procédure d’appel (art. 428 CPP).</w:t>
      </w:r>
    </w:p>
    <w:p>
      <w:r>
        <w:rPr>
          <w:b/>
        </w:rPr>
        <w:t>E. 6.2</w:t>
      </w:r>
    </w:p>
    <w:p>
      <w:r>
        <w:t>La partie plaignante succombe partiellement dans son appel. L’équité commande néanmoins de laisser le solde des frais de la procédure d'appel à la charge de l'État, les frais engendrés par le rejet partiel de son appel étant en tout état insignifiants.</w:t>
      </w:r>
    </w:p>
    <w:p>
      <w:r>
        <w:rPr>
          <w:b/>
        </w:rPr>
        <w:t>E. 6.3</w:t>
      </w:r>
    </w:p>
    <w:p>
      <w:r>
        <w:t>Nonobstant l’admission de l’appel du prévenu, il n’y a pas lieu de modifier la répartition des frais de première instance, la question de l’expulsion n’ayant aucune influence sur les coûts engendrés par la procédure.</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Le travail consistant en des recherches juridiques, sauf questions particulièrement pointues, n'est pas indemnisé, l'État ne devant pas assumer la charge financière de la formation continue de l'avocat breveté (AARP/147/2016 du 17 mars 2016 consid. 7.3 ; AARP/302/2013 du 14 juin 2013 ; AARP/267/2013 du 7 juin 2013).</w:t>
      </w:r>
    </w:p>
    <w:p>
      <w:r>
        <w:rPr>
          <w:b/>
        </w:rPr>
        <w:t>E. 7.3</w:t>
      </w:r>
    </w:p>
    <w:p>
      <w:r>
        <w:t>Le temps de déplacement de l'avocat est considéré comme nécessaire pour la défense d'office au sens de l'art. 135 CPP (décision de la Cour des plaintes du</w:t>
      </w:r>
    </w:p>
    <w:p>
      <w:r>
        <w:t>- 21/25 - P/872/2020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il n’y a pas lieu d’indemniser l’activité de la collaboratrice de l’avocat nommé d’office, qui a préparé et participé à l’audience, l’assistance par deux avocats n’étant pas nécessaire. Le temps consacré par celle-ci à une conférence avec la famille du prévenu sera également écarté, une telle activité à caractère social n’entrant pas dans les prestations prises en charge. Il en va de même des recherches juridiques, la présente cause ne soulevant pas de question juridique particulièrement complexe. Enfin, les frais de traduction et de « clé USB SAPEM », non justifiés par pièce et sans ancrage dans le dossier (le prévenu parlant français), ne seront pas pris en charge.</w:t>
      </w:r>
    </w:p>
    <w:p>
      <w:r>
        <w:t>L’activité d’étude du dossier et de préparation de l’audience par le chef d’étude sera ramenée à huit heures, suffisantes à préparer les débats. En effet, bien qu’il ait été désigné en cours de procédure d’appel, il avait initialement assumé une défense privée et donc pris connaissance du dossier avant sa nomination d’office.</w:t>
      </w:r>
    </w:p>
    <w:p>
      <w:r>
        <w:t>En conclusion, la rémunération sera arrêtée à CHF 4'157.20 correspondant à 16 heures d'activité au tarif de CHF 200.-/heure, une heure d'activité au tarif de CHF 150.-/heure plus la majoration forfaitaire de 10%, deux vacations à CHF 100.- et CHF 75.- et l'équivalent de la TVA au taux de 7.7% en CHF 297.20. * * * * *</w:t>
      </w:r>
    </w:p>
    <w:p>
      <w:r>
        <w:t>- 22/25 - P/872/2020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