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AARP/228/2016 vom 1. Juni 2016</w:t>
      </w:r>
    </w:p>
    <w:p>
      <w:r>
        <w:t>GE Cour de justice, 2016-06-01, FR</w:t>
      </w:r>
    </w:p>
    <w:p>
      <w:r>
        <w:rPr>
          <w:b/>
        </w:rPr>
        <w:t xml:space="preserve">Quelle: </w:t>
      </w:r>
      <w:r>
        <w:t>https://mcp.opencaselaw.ch/entscheid/ge_gerichte_AARP_228_2016</w:t>
      </w:r>
    </w:p>
    <w:p>
      <w:r>
        <w:t>FR: GE_GERICHTE AARP/228/2016 du 1 juin 2016</w:t>
      </w:r>
    </w:p>
    <w:p>
      <w:r>
        <w:t>IT: GE_GERICHTE AARP/228/2016 del 1 giugno 2016</w:t>
      </w:r>
    </w:p>
    <w:p>
      <w:pPr>
        <w:pStyle w:val="Heading2"/>
      </w:pPr>
      <w:r>
        <w:t>Erwägungen</w:t>
      </w:r>
    </w:p>
    <w:p>
      <w:r>
        <w:rPr>
          <w:b/>
        </w:rPr>
        <w:t>E. 1.1</w:t>
      </w:r>
    </w:p>
    <w:p>
      <w:r>
        <w:t>L'appel et l'appel joints sont recevables pour avoir été interjetés et motivés selon la forme et dans les délais prescrits (art. 398, 399 et 400 al. 3 CPP).</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- 17/33 - P/9482/2015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- 18/33 - P/9482/2015 (ATF 129 I 8 consid. 2.1 p. 9 ; arrêts du Tribunal fédéral 6B_109/2014 du 25 septembre 2014 consid. 2.1 ; 6B_398/2013 du 11 juillet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 arrêt du Tribunal fédéral 6B_637/2012 du 21 janvier 2013 consid. 5.4). 2.2.1.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- 19/33 - P/9482/2015 2.2.2.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p. 51-52 ; 121 IV 109 consid. 3a p. 119-120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2.3.1. À teneur de l'art. 140 ch. 1 CP, se rend coupable de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p. 210 ; ATF 124 IV 102 consid. 2 p. 104).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Il importe peu que la victime ait été mise dans l'incapacité de se défendre ; il suffit que l'auteur ait recouru aux moyens</w:t>
      </w:r>
    </w:p>
    <w:p>
      <w:r>
        <w:t>- 20/33 - P/9482/2015 indiqués et que le vol ait été consommé (ATF 133 IV 207 consid. 4.3.1 p. 211 ; arrêt du Tribunal fédéral 6B_356/2012 du 1er octobre 2012 consid. 1.2.1). Il convient d'établir le rapport de cause à effet entre la violence, la mise hors d'état de résister et le vol (ATF 107 IV 107 consid. 3c p. 109 s.). L'art. 140 CP institue une gradation dans la gravité du brigandage, qui est plus sévèrement réprimé si son auteur a agi en qualité d'affilié à une bande formée pour commettre des brigandages ou des vols (art. 140 ch. 3 CP).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consid. 2 ; arrêt du Tribunal fédéral 6B_1047/2008 du 20 mars 2009 consid. 4.1). Cette association renforce physiquement et psychiquement chacun des membres, de sorte qu'elle les rend particulièrement dangereux et laisse prévoir la commission d'autres infractions de ce type (ATF 135 IV 158 précité ; ATF 124 IV 286 consid. 2a ; ATF 124 IV 86 consid. 2b). Du point de vue subjectif, il suffit que l'auteur connaisse et veuille les circonstances de fait qui correspondent à la définition de la bande ou, en d'autres termes, que sa volonté ait porté sur la commission en commun d'une pluralité d'infractions (ATF 132 IV 132 consid. 5.2 ; ATF 124 IV 286 consid. 2a ; ATF 124 IV 86 consid. 2b). Cette qualification suppose un minimum d'organisation (par exemple une répartition des tâches ou des rôles) et que la coopération des intéressés soit suffisamment intense pour que l'on puisse parler d'un groupe stable même s'il n'est qu'éphémère (ATF 132 IV 132 consid. 5.2 ; arrêt du Tribunal fédéral 6B_1047/2008 du 23 mars 2009 consid. 4.1).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Les infractions en droit suisse, vol. I, 3e éd., Berne 2010, n. 1 à 11 ad art. 140 CP). 2.3.2. Selon l'art. 22 CP, le juge peut atténuer la peine si l'exécution d'un crime ou d'un délit n'est pas poursuivie jusqu'à son terme ou que le résultat nécessaire à la consommation de l'infraction ne se produit pas ou ne pouvait pas se produire.</w:t>
      </w:r>
    </w:p>
    <w:p>
      <w:r>
        <w:rPr>
          <w:b/>
        </w:rPr>
        <w:t>E. 2.4</w:t>
      </w:r>
    </w:p>
    <w:p>
      <w:r>
        <w:t>En l'espèce, C______ a d'emblée été mis en cause par A______ de manière précise concernant l'occurrence au CAFÉ H______ (chiffre C.I.2). Il a détaillé aussi bien le modus operandi, le comportement défensif de la victime, que le montant du butin, alors que lui-même ne s'était, selon ses dires, pas rendu sur les lieux. Ses déclarations ont été constantes et crédibles. Elles sont corroborées par le récit qu'a</w:t>
      </w:r>
    </w:p>
    <w:p>
      <w:r>
        <w:t>- 21/33 - P/9482/2015 fait E______ des événements, qui a notamment décrit un agresseur contrarié d'avoir été frappé, alors que A______ a rapporté que C______ avait reçu une claque et était en colère. Il n'est pas plausible que A______ ait eu le temps d'inventer autant de détails cohérents, au demeurant non contestés par C______, alors qu'il venait d'être arrêté en flagrant délit pour d'autres faits. Un autre élément important soutenant la thèse de A______ est que celui-ci agissait bien à l'époque avec C______. Certes, E______ n'a pas reconnu C______ lors du line-up. Il reste qu'elle a désigné (à 50%) un homme à la peau blanche et à la taille/carrure grosso modo comparable à celle de C______, bien qu'elle ait admis n'avoir vu, dans l'obscurité, qu'un profil, partiellement recouvert par une capuche. A______ a également mis en cause C______ au sujet de l'ÉPICERIE L______ (chiffre C.I.4). Ses déclarations ont été constantes sur ce point également et sont, comme il vient d'être indiqué, globalement crédibles. Il est vrai que G______ n'a reconnu C______ comme son agresseur qu'à 60%. La victime a cependant précisé être quasiment sûre d'avoir reconnu son visage, seul le port d'un bonnet lors du brigandage l'empêchant d'en être totalement certaine à l'occasion du line-up. La pénombre et la faible luminosité lors du brigandage peuvent expliquer qu'il ait initialement décrit un individu à la peau basanée. Alternativement, la victime a pu fusionner ses souvenirs des comparses, ce qui expliquerait la référence à la couleur "chocolat". Il n'en demeure pas moins que G______ a décrit un homme au visage fin mesurant 180 cm, ce qui est compatible avec le physique de C______, étant encore précisé que sur sa photo passeport, le précité n'a pas la peau particulièrement claire et paraît plutôt émacié. G______ pense avoir vu deux armes de poing, ce que conteste A______, qui pense que la victime a dû se méprendre à la vue des gants noirs de C______. Cette dernière hypothèse est plausible, la perception de la victime ayant pu être légèrement altérée par les circonstances de l'agression, sans que cela n'affecte la crédibilité de son témoignage. Il est également possible que, comme précédemment, un phénomène de confusion entre les deux agresseurs se soit produit. Hormis le revirement de dernière minute de A______ au CAFÉ H______, le modus operandi et le type de cibles sont similaires aux autres occurrences, en particulier, celles de l'ÉPICERIE M______ et du KIOSQUE N______, toutes deux admises par les prévenus et dont il n'est pas fait appel. En effet, les brigandages étaient effectués</w:t>
      </w:r>
    </w:p>
    <w:p>
      <w:r>
        <w:t>- 22/33 - P/9482/2015 de nuit afin de réduire les risques encourus, les cibles étaient pour la majorité des commerces ou restaurants de petites tailles, possédant des caisses ou coffres-forts. Il n'est pas surprenant qu'aucune trace ADN n'ait été retrouvée à l'ÉPICERIE L______, la victime elle-même ayant affirmé que les agresseurs n'avaient rien touché dans le magasin, à l'exception du tiroir-caisse, avec des gants. Il n'est pas déterminant qu'à teneur des relevés de télécommunications, il n'y ait pas eu de contact entre C______ et A______ entre le 8 février et le 24 mars 2015, dans la mesure où cela ressort des données rétroactives suisses uniquement, alors que les prévenus utilisaient des numéros français – le coût des communications sur le réseau suisse pouvant être la raison de cette absence – et séjournaient en France, ne venant en Suisse que pour y perpétrer leurs délits. En revanche, les données françaises ont établi qu'il y eu de nombreux contacts téléphoniques entre les précités à tout le moins les 16 et 22 mars 2015, ainsi que le 2 mai 2015. Par ailleurs, A______ et C______ étaient libres de converser de vive voix lorsque le premier hébergeait le second. Aucun élément tangible ne permet de penser que A______ a agi avec un autre comparse, ni dans le cas du CAFÉ H______, ni celui de l'ÉPICERIE L______. Les déclarations de C______ ne permettent pas non plus de susciter un doute raisonnable quant à la présence d'un tiers. La crédibilité globale de A______ est encore renforcée du fait que dans le cas du RESTAURANT J______, la présence de l'ADN de C______ sur les lieux du brigandage est venue confirmer ses dires selon lesquels son comparse y avait participé. Le porte-monnaie de la victime a par ailleurs été retrouvé au bord d'une route dans le secteur géographique préalablement indiqué par A______. Sur la base de ce faisceau d'indices convergents, la CPAR a acquis la conviction que C______ a commis les faits au préjudice de l'ÉPICERIE L______ et du CAFÉ H______. Les prévenus ont agi en tant que coauteurs pour l'occurrence de l'ÉPICERIE L______. Ils ont associé leur volonté afin de commettre ensemble leur méfait, se répartissant les rôles et se mettant d'accord sur la cible, ce qui permet de conclure, de surcroît, qu'ils ont agi avec la circonstance aggravante de la bande pour perpétrer ce brigandage, à l'instar des autres cas admis par les premiers juges et non contestés. Le jugement entrepris sera modifié sur ce point. Concernant le CAFÉ H______, il ressort de l'acte d'accusation que A______ s'est contenté d'attendre et de faire le guet pour son comparse, si bien que c'est à bon droit</w:t>
      </w:r>
    </w:p>
    <w:p>
      <w:r>
        <w:t>- 23/33 - P/9482/2015 que les premiers juges ont retenu qu'il lui avait prêté assistance au sens de l'art. 25 CP. Au vu de ce qui précède, la CPAR retient que C______ est coupable de brigandage aggravé au préjudice de l'ÉPICERIE L______ et de brigandage commis aux dépens du CAFÉ H______. L'appel du Ministère public sera donc partiellement admis et le jugement entrepris réformé sur ces points.</w:t>
      </w:r>
    </w:p>
    <w:p>
      <w:r>
        <w:rPr>
          <w:b/>
        </w:rPr>
        <w:t>E. 2.6</w:t>
      </w:r>
    </w:p>
    <w:p>
      <w:r>
        <w:t>p. 2). 3.1.3. Dans l'exercice de son pouvoir d'appréciation, le juge doit respecter, en particulier, le principe d'égalité de traitement (art. 8 al. 1 Cst. ; cf. au regard de l'art. 63 aCP, ATF 120 IV 136 consid. 3a p. 144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3.1.4. D'après l'art. 49 al. 1 CP, si, en raison d'un ou de plusieurs actes, l'auteur remplit les conditions de plusieurs peines de même genre, le juge le condamne à la peine de l'infraction la plus grave et l'augmente dans une juste proportion. 3.2.1. Celui qui commet un brigandage sera puni d'une peine privative de liberté de dix ans au plus ou d'une peine pécuniaire de 180 jours-amende au moins, et d'une peine privative de liberté de deux ans au moins dans le cas de l'aggravante de la bande. L'infraction de séquestration et enlèvement sera punie d'une peine privative de liberté de cinq ans au plus ou d'une peine pécuniaire. 3.2.2.1. En l'espèce, la faute de A______ et C______ est lourde. Ils s'en sont pris au patrimoine et à la liberté de mouvement d'autrui pour leur profit personnel. Les faits sont graves, les auteurs s'étant munis d'une arme, certes factice, ou d'un couteau, pour menacer et brutaliser leurs victimes, sans égard pour la peur profonde qu'ils pouvaient susciter. Cette violence est disproportionnée par rapport à la valeur des butins espérés et récoltés.</w:t>
      </w:r>
    </w:p>
    <w:p>
      <w:r>
        <w:t>- 25/33 - P/9482/2015 Les prévenus ont commis un grand nombre d'actes sur une courte période, à intervalles rapprochés, mus par l'appât du gain facile. Seule leur arrestation a permis de mettre fin à leurs agissements, ce qu'ils ont admis. 3.2.2.2. C______ a sans doute joué un rôle moteur, les déclarations de A______ à cet égard étant crédibles et confirmées par certains éléments du dossier, tels le choix de la cible du 31 mars 2015, connue du premier, ou le fait que le second servait de chauffeur au premier. La personnalité des intéressés telle qu'elle s'est révélée au fil de la procédure va également dans le sens d'une plus grande force de caractère de C______. Pour autant, rien n'indique que A______ était sous la férule de C______. Il a d'ailleurs su refuser sa participation à l'occasion du CAFÉ H______. La collaboration de A______ a été bonne, il a d'emblée reconnu les faits qui lui étaient reprochés et en a dénoncés d'autres spontanément. Sa situation financière est certes obérée, sans que cela n'excuse ses agissements. Il bénéficie d'ailleurs d'une formation. Il entretient des liens étroits avec son ancienne épouse, mère de son fils. Il a présenté des excuses et exprimé des regrets à plusieurs reprises au cours de la procédure. Sa prise de conscience n'est toutefois pas parfaite, puisqu'il rejette une partie de sa responsabilité sur son comparse. Il y a concours d'infractions entre cinq brigandages, dont un cas pour lequel il n'a été que complice et quatre autres commis en tant qu'affilié à une bande, une tentative de brigandage et l'infraction de séquestration et enlèvement, qui est concrètement l'infraction la plus grave. Ses antécédents étrangers sont anciens et non spécifiques. Compte tenu de ces éléments, la peine privative de liberté ferme de trois ans et six mois prononcée par les premiers juges à l'endroit de A______ consacre une application correcte des critères de l'art. 47 CP. Un sursis partiel n'entre pas en considération vu la peine prononcée. L'appel de A______ et l'appel joint du Ministère public seront rejetés. 3.2.2.3. Les faits commis à l'encontre de F______ sont d'une gravité particulière, cette victime ayant été séquestrée dans les circonstances décrites précédemment, alors que C______ la menaçait avec un couteau. La collaboration de ce dernier a été mauvaise. C______ a uniquement reconnu les brigandages pour lesquels il avait été pris en flagrant délit ou filmé par les caméras</w:t>
      </w:r>
    </w:p>
    <w:p>
      <w:r>
        <w:t>- 26/33 - P/9482/2015 de vidéosurveillance. Il s'est obstiné à contester les actes commis au préjudice de son ancienne patronne, nonobstant la présence de son ADN sur le porte-monnaie de la victime. Il jouissait d'un emploi rémunéré et d'une formation professionnelle, facteurs propres à l'empêcher de tomber dans de la délinquance. Certes, la perte brutale de sa compagne, en 2013, a dû l'affecter durablement, mais cette épreuve, dont la pénibilité n'est pas ici remise en doute, ne peut être mise en rapport, deux ans plus tard, avec les infractions commises. Comme déjà évoqué, il a eu un rôle prépondérant. Il n'y a aucune prise de conscience de la part de C______, ce que reflète sa mauvaise collaboration. Les regrets qu'il a présentés paraissent circonstanciels. Il a opté pour une tactique de défense peu courageuse, consistant à nier la majorité des faits qui lui étaient reprochés et à mettre en doute la crédibilité des propos de son comparse, cherchant en outre à justifier ses actes par le décès de sa compagne. Il y a concours d'infractions entre cinq brigandages, dont quatre commis en bande, une tentative de brigandage et l'infraction de séquestration et enlèvement. L'absence d'antécédents a un effet neutre sur la peine (ATF 136 IV 1 consid. 2.6). Vu les verdicts de culpabilité prononcés par la CPAR à l'encontre de C______, il se justifie de le condamner à une peine privative de liberté ferme de quatre ans et six mois. Les conditions de l'octroi du sursis partiel font défaut, vu la peine prononcée. Le jugement entrepris sera réformé sur ces points.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w:t>
      </w:r>
    </w:p>
    <w:p>
      <w:r>
        <w:t>- 24/33 - P/9482/2015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(ATF 135 IV 87 consid. 2 p. 89 ; ATF 120 IV 136 consid. 3b p. 145). En principe, l'absence d'antécédents a un effet neutre sur la fixation de la peine et n'a donc pas à être prise en considération dans un sens atténuant (ATF 136 IV 1 consid.</w:t>
      </w:r>
    </w:p>
    <w:p>
      <w:r>
        <w:rPr>
          <w:b/>
        </w:rPr>
        <w:t>E. 4</w:t>
      </w:r>
    </w:p>
    <w:p>
      <w:r>
        <w:t>Les motifs ayant conduit les premiers juges à prononcer, par ordonnance séparée du 22 janvier 2016, le maintien de C______ en détention pour des motifs de sûreté sont toujours d'actualité, ce que celui-ci ne conteste au demeurant pas, de sorte que la mesure sera reconduite mutatis mutandis (ATF 139 IV 277 consid. 2.2 à 2.3). La question ne se pose pas pour l'appelant A______, celui-ci exécutant sa peine de manière anticipée.</w:t>
      </w:r>
    </w:p>
    <w:p>
      <w:r>
        <w:rPr>
          <w:b/>
        </w:rPr>
        <w:t>E. 5.1</w:t>
      </w:r>
    </w:p>
    <w:p>
      <w:r>
        <w:t>Les prévenus ont été condamnés, pour moitié chacun, aux frais de la procédure de première instance.</w:t>
      </w:r>
    </w:p>
    <w:p>
      <w:r>
        <w:t>- 27/33 - P/9482/2015 Cette répartition ne contrevient pas à l'art. 426 al. 1 CPP, tant l'acquittement partiel prononcé par les premiers juges en faveur de C______ (Q______, C.I.1), non contesté par le Ministère public, est accessoire au regard des chefs de culpabilité supplémentaires prononcés ce jour. Le précité n'a de surcroît pas fait appel (art. 428 al. 3 CPP).</w:t>
      </w:r>
    </w:p>
    <w:p>
      <w:r>
        <w:rPr>
          <w:b/>
        </w:rPr>
        <w:t>E. 5.2</w:t>
      </w:r>
    </w:p>
    <w:p>
      <w:r>
        <w:t>L'appelant A______ succombe, tandis que le Ministère public obtient partiellement satisfaction pour son appel principal et succombe dans son appel joint. Par conséquent, l'appelant A______ et C______ supporteront chacun 2/5 des frais de la procédure d'appel, comprenant dans leur totalité un émolument de CHF 3'000.-, le solde (1/5) étant laissé à la charge de l'État (art. 428 CPP et art. 14 al. 1 let. e du règlement fixant le tarif des frais en matière pénale ; [RTFMP - E 4 10.03]).</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Les deux Chambres de la Cour pénale de la Cour de justice ont eu l'occasion de constater la constitutionnalité de ces tarifs (AARP/101/2016 du 16 mars 2016 ; AARP/52/2016 du 9 février 2016 et ACPR/703/2015 du 21 décembre 2015) et entendent se tenir à cette jurisprudence, jusqu'à droit jugé par le Tribunal fédéral ou le Tribunal pénal fédéral, tous deux saisis de recours.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w:t>
      </w:r>
    </w:p>
    <w:p>
      <w:r>
        <w:t>- 28/33 - P/9482/2015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6.2.3.1. Reprenant l'activité de taxation suite à l'entrée en vigueur du CPP, la CPAR a maintenu dans son principe – nonobstant l'ordonnance de la Cour des plaintes du</w:t>
      </w:r>
    </w:p>
    <w:p>
      <w:r>
        <w:t>- 29/33 - P/9482/2015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6.2.3.2.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sont en principe inclus dans le forfait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6.2.4. L'activité qui n'est pas nécessaire à la défense devant les autorités cantonales n'est pas couverte par l'assistance juridique cantonale.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AARP/331/2015 du 27 juillet 2015 ; AARP/329/2015 du 30 juillet 2015 ; AARP/304/2015 du 16 juillet 2015 ; AARP/301/2015 du 20 juillet 2015 ; AARP/271/2015 du 8 juin 2015 ; AARP/198/2015 du 31 mars 2015 ; AARP/152/2015 du 24 mars 2015).</w:t>
      </w:r>
    </w:p>
    <w:p>
      <w:r>
        <w:t>6.3.1. À la lecture des postes de l'état de frais produit par Me B______, défenseur d'office de l'appelant A______, il apparaît que doivent en être retranchés l'heure et demie pour une visite "post jugement", l'examen de l'opportunité d'un recours au Tribunal fédéral n'étant pas prise en charge par l'assistance judiciaire cantonale, ainsi</w:t>
      </w:r>
    </w:p>
    <w:p>
      <w:r>
        <w:t>- 30/33 - P/9482/2015 que l'heure et quarante-cinq minutes pour la rédaction de la déclaration d'appel, prestation comprise dans le forfait pour l'activité diverse.</w:t>
      </w:r>
    </w:p>
    <w:p>
      <w:r>
        <w:t>Au surplus, l'activité exercée dans le cadre de la présente procédure est en adéquation avec la nature, l'importance et la difficulté de la cause.</w:t>
      </w:r>
    </w:p>
    <w:p>
      <w:r>
        <w:t>Pour les motifs évoqués supra (consid. 6.2.1. in fine), il n'y a pas lieu de s'écarter du tarif fixé par le règlement, comme le souhaiterait la requérante. Par conséquent, l'état de frais est admis, sous réserve des modifications qui précèdent, à concurrence de 01h00 au tarif de CHF 200.-/heure, 01h30 à celui de CHF 65.-/heure et 11h00 à celui de CHF 125.-/heure, auxquelles il convient d'ajouter la durée de l'audience d'appel (03h15 à CHF 125.-/heure), pour un total intermédiaire de CHF 2'078.75. L'indemnisation requise sera ainsi accordée à hauteur de CHF 2'469.56, comprenant le forfait pour l'activité diverse à 10%, soit CHF 207.88, compte tenu de l'activité déployée jusqu'en appel pour plus de 30 heures, TVA à 8% comprise, soit CHF 182.93.</w:t>
      </w:r>
    </w:p>
    <w:p>
      <w:r>
        <w:t>6.3.2. La note d'honoraire produite par Me D______, défenseur d'office de l'intimé C______, est globalement adéquate et conforme aux principes applicables en la matière, de sorte qu'elle sera admise, sous la réserve de l'heure et demie dédiée à un entretien postérieur à l'arrêt de la CPAR, pour les raisons exposées supra (consid. 6.2.4. et 6.3.1.). Il convient cependant d'y ajouter la durée de l'audience d'appel (03h15). En conclusion, l'indemnité sera arrêtée à CHF 3'623.40, correspondant à 15h15 d'activité au tarif de CHF 200.-/heure, plus la majoration forfaitaire de 10%, soit CHF 305.-, compte tenu de l'activité déployée jusqu'en appel pour plus de 30 heures, TVA au taux de 8% incluse, soit CHF 268.40. * * * * *</w:t>
      </w:r>
    </w:p>
    <w:p>
      <w:r>
        <w:t>- 31/33 - P/9482/2015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