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AARP/225/2013 vom 13. Mai 2013</w:t>
      </w:r>
    </w:p>
    <w:p>
      <w:r>
        <w:t>GE Cour de justice, 2013-05-13, FR</w:t>
      </w:r>
    </w:p>
    <w:p>
      <w:r>
        <w:rPr>
          <w:b/>
        </w:rPr>
        <w:t xml:space="preserve">Quelle: </w:t>
      </w:r>
      <w:r>
        <w:t>https://mcp.opencaselaw.ch/entscheid/ge_gerichte_AARP_225_2013</w:t>
      </w:r>
    </w:p>
    <w:p>
      <w:r>
        <w:t>FR: GE_GERICHTE AARP/225/2013 du 13 mai 2013</w:t>
      </w:r>
    </w:p>
    <w:p>
      <w:r>
        <w:t>IT: GE_GERICHTE AARP/225/2013 del 13 maggio 2013</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[CPP ; RS 312.0]).</w:t>
      </w:r>
    </w:p>
    <w:p>
      <w:r>
        <w:t>La partie qui attaque seulement certaines parties du jugement est tenue d'indiquer dans la déclaration d'appel, de manière définitive, sur quelles parties porte l'appel (art. 399 al. 3 CPP). La Chambre limite son examen aux violations décrites dans l'acte d'appel (art. 404 al. 1 CPP), sauf en cas de décisions illégales ou inéquitables (art. 404 al. 2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w:t>
      </w:r>
    </w:p>
    <w:p>
      <w:r>
        <w:t>- 4/7 - PM/238/2013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Le préavis positif de la direction de Champ-Dollon constitue un élément favorable qui ne saurait à lui seul conduire à l’octroi d’une libération conditionnelle. En effet, ayant été condamné durant une période de quatre ans à réitérées reprises pour des faits similaires à ceux à l'origine de la peine qu'il purge actuellement, l'appelant a manifesté un profond mépris des décisions de justice. Sa récidive pendant une libération conditionnelle témoigne de sa difficulté à se conformer à ses engagements. L'appelant n'a pas respecté la confiance que les autorités compétentes lui ont accordée en 2010. Le risque concret de récidive est ainsi réalisé. Les projets de l'appelant, outre qu'ils ont varié, ne sont ni documentés ni crédibles, dans la mesure où l'interdiction de séjour qui le frappe est valable sur tout l'espace Schengen, et donc aussi en France. Ils ne permettent pas à la Cour de céans de penser que celui-ci ne tombera pas à nouveau dans la délinquance. Le pronostic quant à son comportement futur est clairement défavorable.</w:t>
      </w:r>
    </w:p>
    <w:p>
      <w:r>
        <w:t>- 5/7 - PM/238/2013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300.- (art. 14 al. 1 let. e du Règlement fixant le tarif des frais en matière pénale [RTFMP ; E 4 10.03]).</w:t>
      </w:r>
    </w:p>
    <w:p>
      <w:r>
        <w:t>* * * * *</w:t>
      </w:r>
    </w:p>
    <w:p>
      <w:r>
        <w:t>- 6/7 - PM/238/2013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