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AARP/224/2019 vom 3. Juli 2019</w:t>
      </w:r>
    </w:p>
    <w:p>
      <w:r>
        <w:t>GE Cour de justice, 2019-07-03, FR</w:t>
      </w:r>
    </w:p>
    <w:p>
      <w:r>
        <w:rPr>
          <w:b/>
        </w:rPr>
        <w:t xml:space="preserve">Quelle: </w:t>
      </w:r>
      <w:r>
        <w:t>https://mcp.opencaselaw.ch/entscheid/ge_gerichte_AARP_224_2019</w:t>
      </w:r>
    </w:p>
    <w:p>
      <w:r>
        <w:t>FR: GE_GERICHTE AARP/224/2019 du 3 juillet 2019</w:t>
      </w:r>
    </w:p>
    <w:p>
      <w:r>
        <w:t>IT: GE_GERICHTE AARP/224/2019 del 3 luglio 2019</w:t>
      </w:r>
    </w:p>
    <w:p>
      <w:pPr>
        <w:pStyle w:val="Heading2"/>
      </w:pPr>
      <w:r>
        <w:t>Erwägungen</w:t>
      </w:r>
    </w:p>
    <w:p>
      <w:r>
        <w:rPr>
          <w:b/>
        </w:rPr>
        <w:t>E. 1.1</w:t>
      </w:r>
    </w:p>
    <w:p>
      <w:r>
        <w:t>Conformément au principe de l’autorité de renvoi,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et 131 III 91 consid. 5.2). La motivation de l'arrêt de renvoi détermine dans quelle mesure la cour cantonale est liée à la première décision et fixe aussi bien le cadre du nouvel état de fait que celui de la nouvelle motivation juridique (ATF 135 III 334 consid. 2).</w:t>
      </w:r>
    </w:p>
    <w:p>
      <w:r>
        <w:rPr>
          <w:b/>
        </w:rPr>
        <w:t>E. 1.2</w:t>
      </w:r>
    </w:p>
    <w:p>
      <w:r>
        <w:t>Au vu de l'arrêt de renvoi, il est acquis aux débats que le prévenu ne peut pas se prévaloir d'une erreur sur l'illicéité. Il n'est par ailleurs plus discuté et n'a jamais été contesté que ledit stationnement, dépassant le simple arrêt pour laisser descendre ou monter un passager, est interdit par l'art. 41 al. 1bis OCR, soit une disposition de droit fédéral, faute de signaux ou de marques l'autorisant, et qu'il constitue ainsi une violation simple des règles de la LCR, sanctionnée par une amende (art. 90 al. 1 LCR). Il est enfin acquis aux débats que l'appelant s'est aussi rendu coupable d'une contravention aux art. 43 al. 1 LCR et 74b OSR le 29 décembre 2015, en empruntant la partie de la chaussée réservée au tram à la hauteur de la route des Acacias 43 pour traverser la route et rejoindre la voie de circulation en sens inverse.</w:t>
      </w:r>
    </w:p>
    <w:p>
      <w:r>
        <w:t>- 6/12 - P/14371/2016</w:t>
      </w:r>
    </w:p>
    <w:p>
      <w:r>
        <w:rPr>
          <w:b/>
        </w:rPr>
        <w:t>E. 2</w:t>
      </w:r>
    </w:p>
    <w:p>
      <w:r>
        <w:t>2.1.1. 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En revanche, la partie appelante peut valablement renouveler les réquisitions de preuve formulées devant le premier juge qui ont été rejetées (arrêt du Tribunal fédéral 6B_202/2015 du 28 octobre 2015 consid. 2.2 et les références citées). Conformément à l'art. 139 al. 2 CPP, il n'y a en tout état de cause pas lieu d'administrer des preuves sur des faits non pertinents, notoires, connus de l'autorité ou déjà suffisamment prouvés.</w:t>
      </w:r>
    </w:p>
    <w:p>
      <w:r>
        <w:t>2.1.2. Le principe de la légalité prime celui de l'égalité, de sorte que si l'autorité déroge à la loi dans un cas, le justiciable ne peut pas prétendre à un droit au même traitement dérogatoire. Un droit à un traitement égal dans l'illégalité naît seulement dans le cas où, d'une part, l'autorité s'écarte de la loi dans sa pratique constante, et non seulement dans un ou plusieurs cas, et où, d'autre part, elle fait savoir qu'elle ne prendra pas de décision conforme à la loi à l'avenir. Si l'autorité ne s'exprime pas à cet égard, il y a lieu de présumer qu'elle se conformera aux décisions des tribunaux et adoptera une pratique régulière (ATF 127 I 1 consid. 3a ; 124 IC 44 consid. 2.c ; 122 II 446 consid. 4a).</w:t>
      </w:r>
    </w:p>
    <w:p>
      <w:r>
        <w:rPr>
          <w:b/>
        </w:rPr>
        <w:t>E. 2.2</w:t>
      </w:r>
    </w:p>
    <w:p>
      <w:r>
        <w:t>En l'espèce, l'appelant persiste à invoquer une discrimination par rapport aux autres détenteurs de motocycles, dont le stationnement sur les trottoirs aurait toujours été toléré et continuerait de l'être. Pourtant, dans l'examen du moyen tiré de l'erreur sur l'illicéité, le Tribunal fédéral a confirmé le constat du premier juge qu'aucune pratique des autorités compétentes en matière contraventionnelle au moment des faits de ne systématiquement pas poursuivre le stationnement des motocycles sur les trottoirs à condition qu'un espace suffisant soit réservé aux piétons n'est établie. Or, il n'apparaît pas qu'un tel constat serait entaché d'arbitraire. En particulier, la Directive, valable pour les années 2014 à 2016, et le Guide pratique, dans sa version publiée en août 2017, peuvent tout au plus illustrer une certaine tolérance des autorités, en particulier de la Fondation des parkings, vis-à-vis de cette infraction. Quant aux réquisitions de preuve de l'appelant, elles ont été rejetées à raison en première instance, dans la mesure où elles ne concernent que la pratique de la Fondation des parkings au moment des faits, et ne sont donc pas propres à illustrer celle de toutes les autorités cantonales compétentes en matière de contravention. En outre, comme déjà relevé par la CPAR dans son précédent arrêt, à admettre une telle pratique, il n'est en tout état pas démontré que les autorités n'y ont pas renoncé dans l'intervalle. La prise de position du Ministère public ainsi que celle de la police relayées par la presse en 2017, tout comme la décision du Département des transports de supprimer le passage litigieux du Guide pratique, tendent à démontrer le contraire. Il est du reste rappelé qu'en l'absence de communication expresse des autorités sur leur volonté de perpétuer une pratique illégale, il y a lieu de présumer qu'elles se conformeront au droit à l'avenir.</w:t>
      </w:r>
    </w:p>
    <w:p>
      <w:r>
        <w:t>- 7/12 - P/14371/2016</w:t>
      </w:r>
    </w:p>
    <w:p>
      <w:r>
        <w:t>L'appelant ne peut ainsi pas prétendre à un droit à l'égalité dans l'illégalité, et encore moins invoquer toute forme de discrimination fondée sur la couleur ou l'immatriculation de son véhicule, qui ne ressort en rien du dossier et qui ne conduirait de toute manière pas à son acquittement. Sa culpabilité pour contravention aux règles de la circulation routière en relation avec le stationnement de son véhicule sur un trottoir sera donc confirmée.</w:t>
      </w:r>
    </w:p>
    <w:p>
      <w:r>
        <w:rPr>
          <w:b/>
        </w:rPr>
        <w:t>E. 3</w:t>
      </w:r>
    </w:p>
    <w:p>
      <w:r>
        <w:t>3.1.1. La loi sur les amendes d’ordre du 24 juin 1970 (LAO - RS 741.03) permet de réprimer les contraventions aux prescriptions fédérales sur la circulation routière listées par le Conseil fédéral selon une procédure simplifiée (art. 1 al. 1 et 3 LAO).</w:t>
      </w:r>
    </w:p>
    <w:p>
      <w:r>
        <w:t>Selon l'art. 6 LAO, si l'auteur d'une infraction est inconnu, l'amende est infligée au détenteur du véhicule mentionné dans le permis de circulation (al. 1). Le détenteur est informé de l'amende par écrit et il peut la payer dans les 30 jours (al. 2), à défaut de quoi la procédure ordinaire est engagée (al. 3).</w:t>
      </w:r>
    </w:p>
    <w:p>
      <w:r>
        <w:t>Une amende d'ordre peut également être infligée dans la procédure ordinaire (art. 11 al. 1 LAO). L'autorité de répression selon la procédure ordinaire peut notamment être amenée à décider d'infliger une amende d'ordre si la procédure ordinaire a été engagée à la suite du refus du contrevenant d'admettre l'amende d'ordre car il s'estimait non fautif (A. BUSSY / B. RUSCONI / Y. JEANNERET / A. KUHN / C. MIZEL / CH. MÜLLER, Code suisse de la circulation routière commenté, 4e éd., Lausanne 2015, n° 2.a ad art. 11 LAO).</w:t>
      </w:r>
    </w:p>
    <w:p>
      <w:r>
        <w:t>3.1.2. En l'espèce, les deux contraventions en cause figurent sur la liste des amendes d'ordre (cf. ch. 249 et 305 de l'annexe 1 à l'ordonnance sur les amendes d’ordre du</w:t>
      </w:r>
    </w:p>
    <w:p>
      <w:r>
        <w:rPr>
          <w:b/>
        </w:rPr>
        <w:t>E. 4</w:t>
      </w:r>
    </w:p>
    <w:p>
      <w:r>
        <w:t>4.1.1.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w:t>
      </w:r>
    </w:p>
    <w:p>
      <w:r>
        <w:t>4.1.2. En l'espèce, l'appelant obtient gain de cause en première instance dans la mesure où il a été acquitté de trois des cinq contraventions qui lui étaient reprochées. Il doit dès lors supporter d'une part les frais de procédure relatifs au stationnement interdit, dont la quote-part est arrêtée à un tiers (1/3) au vu de ce que les faits y relatifs ont été instruits dans une mesure un peu plus réduite que les deux franchissements de la chaussée à la route des Acacias 43, pour lesquels le premier juge a notamment entendu un témoin. Quant au solde de deux tiers des frais relatifs</w:t>
      </w:r>
    </w:p>
    <w:p>
      <w:r>
        <w:t>- 9/12 - P/14371/2016 aux quatre autres contraventions, seul un quart, au vu de la culpabilité retenue que pour une seule d'entre elles, soit un sixième de tous les frais (2/3 ÷ 4 = 1/6), sera mis à la charge de l'appelant. Il devrait ainsi en définitive supporter la moitié des frais (1/3 + 1/6 = 1/2). Dans le respect du principe de l'interdiction de la refomatio in pejus, la décision du premier juge de n'en mettre que 40% à sa charge sera toutefois confirmée (art. 391 al. 2 CPP).</w:t>
      </w:r>
    </w:p>
    <w:p>
      <w:r>
        <w:rPr>
          <w:b/>
        </w:rPr>
        <w:t>E. 4.2</w:t>
      </w:r>
    </w:p>
    <w:p>
      <w:r>
        <w:t>L'appelant succombe entièrement en seconde instance, le premier jugement étant en définitive entièrement confirmé. Il supportera dès lors les frais afférents à la première procédure d'appel, incluant un émolument de CHF 2'000.- (art. 428 al. 1 CPP et 14 al. 1 let. e du règlement fixant le tarif des frais en matière pénale [E4 10.03]).</w:t>
      </w:r>
    </w:p>
    <w:p>
      <w:r>
        <w:rPr>
          <w:b/>
        </w:rPr>
        <w:t>E. 4.3</w:t>
      </w:r>
    </w:p>
    <w:p>
      <w:r>
        <w:t>Les frais de procédure afférents à la présente procédure consécutive au renvoi du Tribunal fédéral seront par contre laissés à la charge de l'Etat pour tenir compte de ce qu'ils résultent principalement d'une appréciation erronée de l'erreur sur l'illicéité par la CPAR (art. 426 al. 3 let. a CPP ; arrêts du Tribunal fédéral 6B_1367/2017 du 13 avril 2018 consid. 2.1 et 6B_602/2014 du 4 décembre 2014 consid. 1.3).</w:t>
      </w:r>
    </w:p>
    <w:p>
      <w:r>
        <w:rPr>
          <w:b/>
        </w:rPr>
        <w:t>E. 5</w:t>
      </w:r>
    </w:p>
    <w:p>
      <w:r>
        <w:t>5.1.1. Si dans la procédure de recours le prévenu est acquitté totalement ou en partie ou bénéficie d'une ordonnance de classement, il a droit à une indemnité pour les dépenses occasionnées par l'exercice raisonnable de ses droits de procédure (art. 429 al. 1 let. a et 436 al. 1 CPP).</w:t>
      </w:r>
    </w:p>
    <w:p>
      <w:r>
        <w:t>Cette indemnité concerne avant tout les dépenses du prévenu pour un avocat de choix (ATF 138 IV 205 consid. 1). Mais lorsque le prévenu procède seul, il se justifie de lui allouer une indemnisation pour son activité si elle présente une certaine complexité et dépasse ce que l'on peut normalement attendre d'une personne prise à partie dans une procédure pénale (A. KUHN / Y. JEANNERET, Commentaire romand : Code de procédure pénale suisse, Bâle 2011, n. 37 ad art. 429 ; M. NIGGLI / M. HEER / H. WIPRÄCHTIGER, Schweizerische Strafprozessordnung / Schweizerische Jugendstrafprozessordnung, Basler Kommentar StPO / JStPO, 2e éd., Bâle 2014, n. 20 ad art. 429 ; J. PITTELOUD, Commentaire à l'usage des praticiens du code de procédure pénale suisse (CPP), Zurich / St-Gall 2012, n. 1352 ad art. 429 ss ; cf. également l'arrêt du Tribunal fédéral 1B_767/2012 du 23 janvier 2013 consid. 6.3 s.).</w:t>
      </w:r>
    </w:p>
    <w:p>
      <w:r>
        <w:t>5.1.2. La question de l'indemnisation doit être traitée en relation avec celle des frais. Cela a principalement pour conséquence que si le prévenu supporte les frais en application de l'art. 426 al. 1 CPP, une indemnité est en règle générale exclue. En revanche, si l'Etat supporte les frais de la procédure pénale, le prévenu a en principe droit à une indemnité selon l'art. 429 CPP (ATF 137 IV 352 consid. 2.4.2).</w:t>
      </w:r>
    </w:p>
    <w:p>
      <w:r>
        <w:t>- 10/12 - P/14371/2016</w:t>
      </w:r>
    </w:p>
    <w:p>
      <w:r>
        <w:rPr>
          <w:b/>
        </w:rPr>
        <w:t>E. 5.2</w:t>
      </w:r>
    </w:p>
    <w:p>
      <w:r>
        <w:t>En l'espèce, l'appelant n'a pas requis d'indemnisation de ses frais de défense en première instance ni fait valoir en appel une violation de ses droits à cet égard, de sorte que ce point n'a pas à être examiné, et il doit être débouté des prétentions qu'il a fait valoir à cet égard dans la première procédure d'appel, dans la mesure où il y succombe entièrement.</w:t>
      </w:r>
    </w:p>
    <w:p>
      <w:r>
        <w:t>Il peut en revanche sur le principe exiger une indemnisation de ses frais de défense dans le cadre de la présente procédure consécutive au renvoi du Tribunal fédéral, dont les frais ont été laissés à la charge de l'Etat. Se défendant seul, il ne supporte pas de frais d'avocat, mais exceptionnellement, au vu de la complexité des griefs soulevés dépassant la seule question de savoir si la contravention était réalisée, il sera indemnisé pour le temps consacré à ses déterminations de sept pages. Celles-ci comportent toutefois un certain nombre de commentaires généraux concernant l'arrêt de renvoi et de répétitions inutiles faisant fi de la limitation de l'objet de la présente procédure aux questions encore laissées ouvertes par le Tribunal fédéral. En tenant compte d'une activité raisonnable, l'indemnité de l'appelant pour ses dépens sera fixée à CHF 500.- et, conformément à l’art. 442 al. 4 CPP, compensée avec les frais de procédure mis à sa charge (ATF 143 IV 293 consid. 1). * * * * *</w:t>
      </w:r>
    </w:p>
    <w:p>
      <w:r>
        <w:t>- 11/12 - P/14371/2016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