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AARP/21/2020 vom 20. Januar 2020</w:t>
      </w:r>
    </w:p>
    <w:p>
      <w:r>
        <w:t>GE Cour de justice, 2020-01-20, FR</w:t>
      </w:r>
    </w:p>
    <w:p>
      <w:r>
        <w:rPr>
          <w:b/>
        </w:rPr>
        <w:t xml:space="preserve">Quelle: </w:t>
      </w:r>
      <w:r>
        <w:t>https://mcp.opencaselaw.ch/entscheid/ge_gerichte_AARP_21_2020</w:t>
      </w:r>
    </w:p>
    <w:p>
      <w:r>
        <w:t>FR: GE_GERICHTE AARP/21/2020 du 20 janvier 2020</w:t>
      </w:r>
    </w:p>
    <w:p>
      <w:r>
        <w:t>IT: GE_GERICHTE AARP/21/2020 del 20 gennaio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w:t>
      </w:r>
    </w:p>
    <w:p>
      <w:r>
        <w:t>Les faits reprochés ne sont pas contestés, pas plus que leur qualification juridique.</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w:t>
      </w:r>
    </w:p>
    <w:p>
      <w:r>
        <w:t>- 6/13 - P/2108/2019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3.1.2. Sauf disposition contraire, la peine pécuniaire est de trois jours-amende au moins et ne peut excéder 180 jours-amende. Le juge fixe leur nombre en fonction de la culpabilité de l'auteur (art. 34 al. 1 CP). La durée minimale de la peine privative de liberté est de trois jours (art. 40 al. 1 CP). Le juge peut prononcer une peine privative de liberté à la place d'une peine pécuniaire si une peine privative de liberté paraît justifiée pour détourner l'auteur d'autres crimes ou délits (art. 41 al. 1 let. a CP) ou, s'il y a lieu de craindre qu'une peine pécuniaire ne puisse pas être exécutée (let. b). Il doit motiver le choix de la peine privative de liberté de manière circonstanciée (al. 2).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3.1.3.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w:t>
      </w:r>
    </w:p>
    <w:p>
      <w:r>
        <w:t>- 7/13 - P/2108/2019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Cette disposition ne prévoit aucune exception. Le prononcé d'une peine unique dans le sens d'un examen global de tous les délits à juger n'est pas possible (ATF 144 IV 217 consid. 3.5.4 ; 144 IV 313 consid. 1.1.2). 3.1.4. Aux termes de l'art. 42 al. 1 CP, le juge suspend en règle générale l'exécution d'une peine pécuniaire ou d'une peine privative de liberté de deux ans au plus lorsqu'une peine ferme ne paraît pas nécessaire pour détourner l'auteur d'autres crimes ou délits. Le deuxième alinéa de cet article dispose cependant que si, durant les cinq ans qui précèdent l'infraction, l'auteur a été condamné à une peine privative de liberté ferme ou avec sursis de plus de six mois, il ne peut y avoir de sursis à l'exécution de la peine qu'en cas de circonstances particulièrement favorables. Autrement dit, en cas de récidive au sens de cet alinéa, seules deux hypothèses sont envisageables : soit les circonstances sont particulièrement favorables et le sursis total doit être accordé à l'auteur ; soit les circonstances sont mitigées ou défavorables et le sursis, respectivement partiel ou total, est alors exclu (arrêts du Tribunal fédéral 6B_430/2016 du 27 mars 2017 consid. 3.1 ; 6B_492/2008 du 19 mai 2009 consid. 3.1.3 non publié in ATF 135 IV 152 ; cf. plus généralement : ATF 134 IV 1 consid. 4.2.3 p. 7).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(arrêts du Tribunal fédéral 6B_872/2016 du 15 juin 2017 consid. 2.1 ; 6B_100/2016 du 19 octobre 2016 consid. 2.1 ; Message concernant la modification du code pénal suisse [dispositions générales, entrée en vigueur et application du code pénal] et du code pénal militaire ainsi qu'une loi fédérale régissant la condition pénale des mineurs du 21 septembre 1998, FF 1999 p. 1855). Tel peut être le cas lorsque les faits les plus récents n'ont aucun rapport avec le jugement antérieur ou encore en cas de modification particulièrement positive dans la vie de l'auteur (ATF 134 IV 1 consid. 4.2.3 p. 6 ; arrêts du Tribunal fédéral</w:t>
      </w:r>
    </w:p>
    <w:p>
      <w:r>
        <w:t>- 8/13 - P/2108/2019 6B_658/2017 du 30 janvier 2018 consid. 1.2 ; 6B_64/2017 du 24 novembre 2017 consid. 2.2 ; 6B_872/2016 du 15 juin 2017 consid. 2.1 ; 6B_352/2014 du 22 mai 2015 consid. 7.1. non publié in ATF 141 IV 273). La coopération et les regrets sincères, qui constituent des facteurs d'appréciation de sa culpabilité (cf. art. 47 et 48 let. d CP), ne suffisent pas à faire apparaître les circonstances comme particulièrement favorables (arrêt du Tribunal fédéral 6B_100/2016 du 19 octobre 2016 consid. 2.4.1 et les références). Cela étant, il n'est pas contestable que l'existence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(arrêts du Tribunal fédéral 6B_42/2018 du 17 mai 2018 consid. 1.2 ; 6B_869/2016 du 1er juin 2017 consid. 4.2 ; 6B_510/2010 du 4 octobre 2010 consid. 1.2.2). Seuls les antécédents judiciaires de l'intimé qui sont inscrits à son casier judiciaire doivent être pris en considération, à l'exclusion des inscriptions éliminées ou de condamnations non inscrites (art. 369 al. 7 CP ; ATF 135 IV 87 ; arrêt du Tribunal fédéral 6B_42/2018 du 17 mai 2018 consid. 1.4). En cas de sursis, le juge peut ordonner une assistance de probation et imposer des règles de conduite pour la durée du délai d’épreuve (art. 44 al. 2 CP). 3.1.5. Par ailleurs, l'art. 67e CP prévoit que si l’auteur a utilisé un véhicule automobile pour commettre un crime ou un délit, le juge peut ordonner le retrait du permis de conduire pour une durée d’un mois à cinq ans s’il y a lieu de craindre de nouveaux abus. 3.2.1. En l'espèce, il s'agit dans un premier temps de déterminer le genre de peine à prononcer. Il ressort du casier judiciaire de l'appelant que celui-ci a déjà été condamné à cinq reprises dont deux fois, soit pour les deux condamnations les plus récentes, pour des infractions spécifiques. Ces deux condamnations ont entrainé le prononcé d'une peine pécuniaire non négligeable de 50 unités pénales, avec un sursis de trois ans, et une amende de CHF 800.- à titre de sanction immédiate, puis d'une peine pécuniaire ferme de 180 jours-amende. Aucune de ces deux condamnations ne l'a dissuadé de récidiver pour des infractions identiques. La situation personnelle de l'appelant était difficile selon ses explications, mais elle ne justifiait en rien les infractions commises, un suivi psychiatrique étant même en place au moment des faits, apparemment interrompu du fait de l'appelant lui-même. Il a agi alors qu'il avait déjà été condamné pour des faits similaires et se sachant sous le coup d'un retrait de permis en raison de cette condamnation, ce qui démontre une</w:t>
      </w:r>
    </w:p>
    <w:p>
      <w:r>
        <w:t>- 9/13 - P/2108/2019 volonté délictuelle importante ou à tout le moins un grand mépris pour les règles en vigueur. L'appelant démontre avoir depuis lors pris conscience de la gravité des actes commis, ce qu'il manifeste notamment par la vente de ses deux-roues motorisés. Il a de même repris le suivi auprès de son médecin psychiatre. Il semble investi et apprécié sur son lieu de travail. Il n'en demeure pas moins qu'il bénéficiait déjà au moment des faits d'un suivi et qu'il était déjà manifestement apprécié de son employeur. La seule vente de ses véhicules, au demeurant opportune compte tenu de sa situation financière et de ses dettes, ne paraît pas suffisante pour retenir qu'une nouvelle peine pécuniaire serait de nature à le dissuader de réitérer encore une fois. Il apparaît dès lors nécessaire, afin de détourner définitivement l'appelant d'autres crimes ou délits, de prononcer une peine privative de liberté pour sanctionner les dernières infractions commises. 3.2.2. La quotité de la peine prononcée en première instance paraît conforme aux critères de l'art. 47 CP, tant en ce qui concerne le poids de la faute, que de la situation personnelle, y compris les antécédents. Les règles applicables en matière de concours d'infraction ont également été correctement appliquées par le tribunal en fixant à quatre mois la peine en lien avec les excès de vitesse, peine augmentée encore de deux mois pour les conduites sans autorisation. 3.2.3. La peine ne sera pas assortie du sursis. Pour les motifs déjà relevés, les peines précédemment prononcées à l'encontre de l'appelant, avec sursis puis ferme, ne l'ont pas dissuadé de commettre à nouveau des infractions identiques de sorte qu'une peine ferme est désormais nécessaire pour détourner l'auteur d'autres crimes ou délits. L'appelant démontre certes une reprise en main de sa situation, mais celle-ci n'excède en réalité pas ce que l'on peut attendre de toute personne dans ce genre de situation de sorte qu'elle ne suffit pas à contrebalancer les éléments imposant le prononcé d'une peine ferme. Au demeurant, l'appelant s'y oppose essentiellement par crainte de perdre son emploi. Cela étant, l'appelant oublie que compte tenu de la quotité fixée, cette peine pourrait être purgée en semi détention, ses horaires de travail, aménageables selon son supérieur hiérarchique n'y faisant a priori pas obstacle, alors que des travaux d'intérêts généraux pourtant plaidés auraient rendu eux bien plus difficile le maintien des rapports de travail. 3.2.4. Le sursis n'étant pas octroyé, la question des règles de conduite ne se pose pas. Une interdiction de conduire au sens de l'art. 67e CP ne semble pas non plus nécessaire au vu de la peine confirmée. La révocation du sursis octroyé le 17 février 2017 ainsi que la non révocation de celui du 11 novembre 2016 ne sont pas contestées.</w:t>
      </w:r>
    </w:p>
    <w:p>
      <w:r>
        <w:t>- 10/13 - P/2108/2019 L'appel sera rejeté et le jugement entrepris confirmé.</w:t>
      </w:r>
    </w:p>
    <w:p>
      <w:r>
        <w:rPr>
          <w:b/>
        </w:rPr>
        <w:t>E. 4</w:t>
      </w:r>
    </w:p>
    <w:p>
      <w:r>
        <w:t>L'appelant, qui succombe, supportera les frais de la procédure envers l'État (art. 428 CPP).</w:t>
      </w:r>
    </w:p>
    <w:p>
      <w:r>
        <w:rPr>
          <w:b/>
        </w:rPr>
        <w:t>E. 5.1</w:t>
      </w:r>
    </w:p>
    <w:p>
      <w:r>
        <w:t>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Il est admis que l'activité consacrée aux conférences, audiences et autres actes de la procédure soit forfaitairement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5.2</w:t>
      </w:r>
    </w:p>
    <w:p>
      <w:r>
        <w:t>En l’occurrence, l’état de frais produit par le conseil de l’appelant paraît globalement adéquat et conforme aux dispositions et principes qui précèdent, sous réserve de l'étude du jugement de première instance et de la rédaction de la déclaration d'appel qui tombent sous le coup du forfait de 20%.</w:t>
      </w:r>
    </w:p>
    <w:p>
      <w:r>
        <w:t>En conclusion, l'indemnité sera arrêtée à CHF 1'420.- correspondant à cinq heures et 25 minutes d'activité au tarif de CHF 200.-/heure, une vacation à hauteur de CHF 100.-, plus la majoration forfaitaire de 20%.</w:t>
      </w:r>
    </w:p>
    <w:p>
      <w:r>
        <w:t>* * * * *</w:t>
      </w:r>
    </w:p>
    <w:p>
      <w:r>
        <w:t>- 11/13 - P/2108/2019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