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AARP/21/2017 vom 16. Januar 2017</w:t>
      </w:r>
    </w:p>
    <w:p>
      <w:r>
        <w:t>GE Cour de justice, 2017-01-16, FR</w:t>
      </w:r>
    </w:p>
    <w:p>
      <w:r>
        <w:rPr>
          <w:b/>
        </w:rPr>
        <w:t xml:space="preserve">Quelle: </w:t>
      </w:r>
      <w:r>
        <w:t>https://mcp.opencaselaw.ch/entscheid/ge_gerichte_AARP_21_2017</w:t>
      </w:r>
    </w:p>
    <w:p>
      <w:r>
        <w:t>FR: GE_GERICHTE AARP/21/2017 du 16 janvier 2017</w:t>
      </w:r>
    </w:p>
    <w:p>
      <w:r>
        <w:t>IT: GE_GERICHTE AARP/21/2017 del 16 gennaio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w:t>
      </w:r>
    </w:p>
    <w:p>
      <w:r>
        <w:rPr>
          <w:b/>
        </w:rPr>
        <w:t>E. 2.2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w:t>
      </w:r>
    </w:p>
    <w:p>
      <w:r>
        <w:t>- 35/57 - P/5379/2012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2.3</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 1 du Protocole additionnel n° 7 à la Convention de sauvegarde des droits de l'homme et des libertés fondamentales (RS 0.101.07) ainsi que par l'art. 14 § 7 du Pacte international relatif aux droits civils et politiques (RS 0.103.2). Il découle en outre implicitement de la Constitution fédérale (ATF 137 I 363 consid. 2.1 p. 365). Enfin, sous la note marginale "interdiction de la double poursuite", l'art. 11 al. 1 CPP prévoit également qu'aucune personne condamnée ou acquittée en Suisse par un jugement entré en force ne peut être poursuivie une nouvelle fois pour la même infraction. Ce principe, qui est un corollaire de l'autorité de chose jugée, interdit qu'une personne soit pénalement poursuivie deux fois pour les mêmes faits. Le premier jugement exclut ainsi que la personne soit poursuivie une seconde fois par une juridiction pénale, même sous une qualification juridique différente. Il s'agit en effet d'adopter une approche fondée strictement sur l'identité des faits matériels et de ne</w:t>
      </w:r>
    </w:p>
    <w:p>
      <w:r>
        <w:t>- 36/57 - P/5379/2012 pas retenir la qualification juridique de ces faits comme critère pertinent (arrêt du Tribunal fédéral 6B_503/2015 du 24 mai 2016 consid. 1 destiné à la publication). Outre l'identité des faits, l'autorité de chose jugée et le principe ne bis in idem supposent également qu'il y ait identité de l'objet de la procédure et de la personne visée (cf. ATF 125 II 402 consid. 1b p. 404 ; 120 IV 10 consid. 2b p. 12 s; 119 Ib 311 consid. 3a p. 318 ; 118 IV 269 consid. 2 p. 271 ; arrêt du Tribunal fédéral 6B_1029/2010 du 18 avril 2011 consid. 1.1).</w:t>
      </w:r>
    </w:p>
    <w:p>
      <w:r>
        <w:rPr>
          <w:b/>
        </w:rPr>
        <w:t>E. 2.4</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Dans le cas particulier d'un prêt, les valeurs patrimoniales ne représentent qu'exceptionnellement des valeurs appartenant à autrui, confiées à l'emprunteur, soit lorsque leur affectation et clairement prédéfinie et sert à assurer la couverture du risque du prêteur ou, à tout le moins, à diminuer son risque de perte. L'affectation convenue doit donc représenter en elle-même une forme de garantie (ATF 129 IV 257 consid. 2.2.3 et 2.3 ; M. DUPUIS / B. GELLER / G. MONNIER / L. MOREILLON / C. PIGUET / C. BETTEX / D. STOLL (éds), Code pénal - Petit commentaire, Bâle 2012, n. 35 ad art. 138). L'infraction d'abus de confiance absorbe en règle générale l'infraction de gestion déloyale de l'art. 158 CP (ATF 111 IV 60 consid. 3a p. 62).</w:t>
      </w:r>
    </w:p>
    <w:p>
      <w:r>
        <w:rPr>
          <w:b/>
        </w:rPr>
        <w:t>E. 2.5</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Le gérant d'affaires</w:t>
      </w:r>
    </w:p>
    <w:p>
      <w:r>
        <w:t>- 37/57 - P/5379/2012 qui, sans mandat, aura agi de même encourra la même peine (al. 2). La peine sera aggravée si l'auteur a agi dans le dessein de se procurer ou de procurer à un tiers un enrichissement illégitime (al. 3). Sur le plan objectif, l'infraction de gestion déloyale au sens de l'art. 158 ch. 1 CP suppose la réunion de quatre éléments, à savoir un devoir de gestion ou de sauvegarde, la violation de ce devoir, un dommage et l'intention.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En règle générale, une qualité de gérant est reconnue aux organes ou membres d'organes de sociétés commerciales. Selon la jurisprudence, l'homme de paille n'est pas exonéré de toute responsabilité dans le cadre de l'art. 158 CP, du fait qu'un tiers lui a prescrit le comportement à adopter (ATF 105 IV 106 consid. 2 p. 110 ; arrêts du Tribunal fédéral 6B_494/2015 du 25 mai 2016 consid. 2.1 ; 6B_223/2010 du 13 janvier 2011 consid. 3.3.1 ; 6B_66/2008 du 9 mai 2008 consid. 6.3.2). Celui qui, en droit, assume des obligations, doit en répondre et ne peut dégager sa responsabilité qu'en se démettant de ses fonctions. Il ne peut invoquer à décharge sa dépendance à l'égard d'autres responsables, fussent-ils ses employeurs (ATF 105 IV 106 consid. 2 p. 110).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spéc. p. 193 ; 105 IV 307 consid. 3 p. 312 s). Il convient donc d'examiner de manière concrète si les actes de gestion reprochés violaient un devoir de gestion spécifique.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du Tribunal fédéral 6B_845/2014 du 16 mars 2015 consid. 3.2, 6B_223/2010 du 13 janvier 2011 consid. 3.3.2 et 6B_446/2010 du 14 janvier 2010 consid. 8.4.1).</w:t>
      </w:r>
    </w:p>
    <w:p>
      <w:r>
        <w:t>- 38/57 - P/5379/2012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122 IV 279 consid. 2a p. 281 ; 121 IV 104 consid. 2c p. 107 ; arrêt du Tribunal fédéral 6B_845/2014 du 16 mars 2015 consid. 3.3) ; un préjudice temporaire suffit. Il n'est pas nécessaire que le dommage corresponde à l'enrichissement de l'auteur, ni qu'il soit chiffré ; il suffit qu'il soit certain (cf. ATF 123 IV 17 consid. 3d p. 22 ; 122 IV 279 consid. 2a ; 121 IV 104 consid. 2c p. 107). Il n'existe que lorsque la personne lésée a un droit protégé par le droit civil à la compensation du dommage subi. Sur le plan subjectif, l'infraction est intentionnelle. Le dol éventuel suffit, mais il doit être caractérisé vu l'imprécision des éléments constitutifs objectifs de cette infraction (ATF 123 IV 17 consid. e ; 120 IV 190 consid. 2b.). Le dessein d'enrichissement illégitime est érigé en circonstance aggravante (art. 158 ch. 1 al. 3 CP). 2.6.1. Les premiers juges ont retenu que, sur la somme de CHF 50'000.- versée par J______ sur le compte de N______, seuls CHF 10'000.- pouvaient être tenus pour avoir connu un sort pénalement relevant au regard des options prises dans l'ordonnance pénale valant acte d'accusation. Ces fonds étaient destinés à M______, en contrepartie de la souscription du capital-actions, mais avaient été utilisés par l'appelant, pourtant administrateur et partant gérant de la société, pour couvrir ses charges personnelles ou les frais d'une autre société, N______, d'où la commission d'une infraction de gestion déloyale aggravée, mais ce au détriment de M______, J______ ne subissant qu'un préjudice indirect. 2.6.2. Les griefs de nature procédurale développés par l'appelant à l'encontre de ce point du jugement doivent être écartés. 2.6.2.1. Tous les faits pertinents ayant permis aux premiers juges de fonder le raisonnement qui précède, sont bien évoqués dans l'ordonnance pénale valant acte d'accusation. Il est en particulier retenu que l'appelant était l'administrateur de M______, qu'un montant de CHF 10'000.- payé par J______ était destiné à la libération du capital social de cette société, et que l'intégralité de la somme versée par elle, incluant ledit montant, a été utilisée à des dépenses personnelles et professionnelles de l'appelant. En retenant que se sont ses devoirs de gérant à l'égard de M______, à laquelle les fonds étaient destinés en contrepartie des actions, que l'intéressé avait violé et qu'une infraction de gestion déloyale aggravée avait dès lors bien été commise, mais au détriment de cette société plutôt que de J______ (à tout le moins directement), les premiers juges se sont uniquement livrés à une interprétation</w:t>
      </w:r>
    </w:p>
    <w:p>
      <w:r>
        <w:t>- 39/57 - P/5379/2012 juridique des faits différente de celle proposée par le MP, ce qui ne contrevient pas au principe d'accusation. 2.6.2.2. La conviction de l'appelant selon laquelle le Tribunal fédéral aurait communiqué au Tribunal correctionnel son arrêt du 10 mars 2016 dans l'affaire X______ avant l'audience des 14, 15 et 16 mars 2016, pour ne le notifier qu'ensuite aux parties, ce qui aurait permis aux premiers juges de commettre un "délit d'initiés juridique" en se livrant à un raisonnement conforme audit arrêt, n'engage que lui, sans préjudice de ce qu'on voit mal quelle conséquence il faudrait en tirer dans le cadre de la présente procédure. Il suffira d'observer que rien ne permet d'affirmer que les premiers juges étaient incapables de faire un raisonnement juridiquement correct sans l'aide des juges fédéraux, voire de s'inspirer du premier arrêt dans l'affaire X______ du 4 juillet 2014. 2.6.2.3. Bien que l'enseignement du Tribunal fédéral dans cette précédente cause puisse être source d'inspiration, l'exception tirée de l'interdiction du bis in idem ne trouve nullement application en l'espèce. D'une part, même si les circonstances sont semblables, les faits et les parties ne sont pas les mêmes. D'autre part, il n'a pas été jugé dans cette première affaire que les faits n'étaient pas constitutifs d'infraction pénale mais qu'une condamnation prononcée au stade de l'appel pour une infraction commise au préjudice de M______ plutôt que des époux X______ contrevenait à l'interdiction de la reformatio in pejus vu l'acquittement implicite prononcé par la juridiction inférieure, problématique qui ne se pose pas dans la présente affaire, le tribunal de première instance ayant au contraire prononcé un verdict de culpabilité. 2.6.2.4. Tout au plus l'appelant pourrait-il se prévaloir de ce que les premiers juges auraient dû l'interpeller, au sens de l'art. 344 CPP, avant de s'écarter de l'appréciation juridique du MP. Toutefois, cette informalité, qui saurait d'autant moins être qualifiée de grave que la variation est minime et que l'appelant pouvait s'y attendre, peut être tenue pour réparée, vu le plein pouvoir de cognition de la juridiction d'appel (ATF 137 I 195 consid. 2.3.1 ; 135 I 279 consid. 2.3). 2.6.3. Sur le fond toutefois, force est de constater que la conclusion des premiers juges ne saurait être suivie dès lors qu'il est établi que M______ n'a pas été privée de son capital social à concurrence de CHF 10'000.- au moment de sa constitution. A supposer qu'il était bien d'emblée convenu qu'une partie de la somme versée par J______ sur le compte de N______ le 22 juin 2007 devait servir à la souscription des actions, l'opération a bien eu lieu, de sorte que la société n'a subi aucun dommage direct (pas plus que l'actionnaire, qui a bien obtenu la titularité des actions, n'a subi de dommage indirect). L'usage que l'appelant a pu faire, dans l'intervalle, de la somme de CHF 50'000.- comprenant celle de 10'000.-, est en définitive indifférent, à tout le moins sur la base des éléments du dossier qui ne permettent pas retenir qu'il n'avait pas en tout temps les moyens ou l'intention de verser, pour le bénéfice de</w:t>
      </w:r>
    </w:p>
    <w:p>
      <w:r>
        <w:t>- 40/57 - P/5379/2012 J______, CHF 10'000.- sur le compte de consignation de la société en voie de constitution, ainsi que cela a été en définitive fait avec le paiement global de CHF 100'000.- correspondant à l'intégralité du capital social. Le jugement doit donc être annulé, au profit d'un acquittement, dans la mesure où l'appelant a été reconnu coupable de gestion déloyale aggravée pour avoir disposé de CHF 10'000.- versés par J______ aux fins de la souscription d'une partie du capital social de M______. 2.7.1. Le tribunal de première instance a estimé que les prêts concédés par les parties plaignantes H______ et G______ en octobre 2007 et janvier 2008 ne pouvaient être considérés comme destinés au programme de O______, puisque cette promotion n'était pas encore envisagée à cette date. Il s'agissait donc de prêts commerciaux, de sorte que les fonds en cause ne pouvaient être tenus pour avoir été confiés au sens de l'art. 138 CP. Par ailleurs, en sa qualité d'emprunteur, l'appelant n'était pas tenu par un devoir de gestion, ce qui excluait également l'application de l'art. 158 CP, d'où le prononcé d'un acquittement. En revanche, dès le versement ultérieur du 13 mai 2008 de l'intimé G______, le projet était désormais en cours ; ces deux parties plaignantes avaient déclaré que leurs paiements étaient destinés à cette promotion ; une partie des sommes avaient été mentionnées au titre de fonds propres dans le plan financier soumis au L______ et G______ avait conclu un contrat de réservation pour un appartement le 12 mars 2009, soit quasiment concomitamment avec le dernier versement. Aussi, toute somme payée depuis cette date devait-elle être tenue pour l'avoir été en vue du programme immobilier. 2.7.2. Ce raisonnement fait abstraction de ce que les conventions intitulées "contrat de prêt", dont la dernière s'avère avoir été conclue, avec l'intimée H______, le 21 décembre 2010, mentionnent expressément que les prêts sont destinés aux activités professionnelles de l'appelant. Les deux parties plaignantes se sont en outre vue octroyer une garantie (cédule hypothécaire) ou prétendue telle (engagement de paiement de AI______) couvrant les sommes prêtées selon les premiers de ces contrats. Par ailleurs, les déclarations des deux créanciers ne sont pas aussi univoques que retenu dans le jugement. Sans doute, au moment où les prêteurs ont été persuadés d'avancer des sommes supplémentaires a-t-il aussi été question du programme de O______, au même titre d'ailleurs que, précédemment, l'appelant avait semble-t-il parlé à H______ d'un terrain sur lequel des villas pourraient être érigées, mais le fait qu'un ou des projets concrets aient été évoqués, au chapitre des "activités personnelles" que l'appelant se proposait de développer ne signifie pas encore qu'une affectation exclusive des prêts, susceptible d'en garantir le remboursement, ait été convenue, contrairement à la lettre</w:t>
      </w:r>
    </w:p>
    <w:p>
      <w:r>
        <w:t>- 41/57 - P/5379/2012 des contrats de prêt, sous réserve de cas où des stipulations plus précises seraient par ailleurs établies. Tel est le cas, pour l'intimée H______, de la somme de CHF 700.- censée être "décomptée" dans le cadre de la promotion immobilière, ou du virement de CHF 20'000.- dont la cause expresse est : "avance sur hypothèque". A tout le moins y a-t-il, pour les versements couverts par les contrats de prêt qui ne sont pas aussi l'objet de telles précisions, un doute, sérieux et concret, qui doit profiter à la défense. Cela concerne, outre les paiements des intimés G______ et H______ déjà écartés par les premiers juges, aussi les deuxième et troisième versements par EUR 60'000.- chacun du premier, valeur 13 mai 2008 et 9 mars 2009, conformément à la lettre des conventions des 1er mai 2008 et 1er janvier 2010, ainsi que les versements de l'intimée H______ de CHF 30'000.- (= 10'000.- + 20'000.-) de novembre 2008, CHF 5'000.- du 26 octobre 2009 et CHF 7'000.- du 7 décembre 2009, toutes sommes englobées, semble-t-il, dans le montant du prêt visé par le troisième contrat du 21 décembre 2010. Certes, comme pour les sommes précédemment obtenues de ces deux parties plaignantes, il aurait été envisageable d'examiner la question sous l'angle de l'escroquerie, mais cela n'est plus possible à ce stade, la Cour étant, comme le Tribunal correctionnel avant elle, liée par les faits décrits dans l'acte d'accusation, qui ne comprennent pas les éléments susceptibles de correspondre à la notion juridique de tromperie astucieuse. En conclusion, l'appel doit être partiellement admis, l'appelant étant acquitté du chef d'abus de confiance également pour les prêts octroyés par les parties plaignantes G______ les 13 mai et 9 mars 2009 (2 x EUR 60'000.-) ainsi que par H______ les 14 et 17 novembre 2008 (CHF 10'000.- + 20'000) puis le 26 octobre (CHF 5'000.-) et le 7 décembre 2009 (CHF 7'000.-). 2.7.3. La Cour saisira cette occasion pour compléter d'office le dispositif du jugement de première instance, celui-ci ne mentionnant pas, manifestement par inadvertance, l'acquittement prononcé par les premiers juges aux termes de leurs considérants, pour les premiers versements de l'intimée H______. 2.8.1. Comme retenu par le tribunal de première instance, il est incontestable – et apparemment désormais incontesté – que l'appelant était l'initiateur de la promotion immobilière de O______ puis du programme de AJ______, censé "sauver" le précédent. Comme tous les intervenants, lui compris, l'ont décrit, l'appelant a eu le contact avec le vendeur, puis approché les investisseurs, leur présentant son projet comme une opportunité d'investir. Il a tiré avantage de l'ignorance en affaires de la plupart d'entre eux – à tout le moins s'agissant des investisseurs encore parties plaignantes –, de la confiance qu'ils avaient en lui, de l'apparence de sérieux que la constellation de sociétés existantes ou à créer donnait à toute l'opération. Ainsi qu'il</w:t>
      </w:r>
    </w:p>
    <w:p>
      <w:r>
        <w:t>- 42/57 - P/5379/2012 l'a lui-même déclaré, l'appelant a discuté le prix de vente avec le propriétaire- investisseur, à envisagé diverses formes juridiques (acquisition par lui-même, par l'une de ses sociétés, en "VEFA", par le biais de la SCCA), a négocié les prêts avec le L______ et entretenu le contact avec le notaire, les investisseurs se contentant de signer lorsque cela leur était demandé et d'exécuter les instructions de paiement. Il a placé la partie plaignante G______ à la tête des sociétés françaises mais il ne fait pas de doute que celui-ci ne faisait qu'exécuter les instructions de l'appelant, ayant même délivré procuration à la fille de ce dernier, jusqu'au jour où ce lésé a commencé d'éprouver des doutes sur la situation, un peu avant les autres, semble-t-il. L'appelant a ainsi revêtu la qualité de gérant des deux promotions et, notamment, de gérant de fait des sociétés N______ françaises et de la W______. 2.8.2. Comme exposé ci-dessus (points B.g.d. et B.g.e.), les éléments du dossier, notamment l'expertise mais aussi les pièces bancaires et comptables réunies, établissent clairement que, sur la somme d'EUR 511'450.- débloquée par le L______ et EUR 10'000.- provenant du notaire entre fin décembre 2009 et fin mars 2010, seule une somme d'environ EUR 120'000.- a, au plus, été consacrée à des travaux liés au programme immobilier de O______, le solde étant affecté au paiement de charges courantes de l'appelant et à ses dépenses privées ou celles de sa famille, leur assurant un train de vie pour le moins confortable. Sur le montant de CHF 345'000.- versé par les investisseurs d'octobre 2009 à mai 2011, seuls EUR 40'000.- et EUR 20'750.- ont effectivement été consacrés au projet de AJ______, le reste étant affecté, ici encore, à la couverture de certaines charges des sociétés suisses de l'appelant et, en bonne partie, à des dépenses privées ou non justifiées (plus de CHF 200'000.-). A juste titre, l'appelant ne parait pas ou plus véritablement contester cette analyse, étant observé qu'il n'a pas réitéré la réquisition tendant à l'établissement d'une expertise complémentaire et s'est contenté d'une allusion, dans la plaidoirie de son défenseur, au fait que l'expertise judiciaire ne mentionnait pas ce qui avait pu être payé pour AJ______, sans prétendre qu'il y aurait eu d'autres dépenses que celles sus-évoquées. Cette renonciation parait sage, étant observé qu'on ne voit guère quels autres montants, à tout le moins significatifs, que ceux évoqués ci-dessus auraient pu être déboursés, sachant que ce second projet n'a jamais dépassé un stade préliminaire. 2.8.3. Contrairement au cas des sommes prêtées par les parties plaignantes H______ et G______ évoquées précédemment, il est incontestable que les fonds obtenus soit par le truchement des prêts hypothécaires, soit des investisseurs à compter de l'automne 2009 étaient exclusivement destinés aux deux programmes immobiliers et non, plus généralement, aux activités professionnelles développées par l'appelant. L'appelant ne le conteste pas mais parait – c'est l'interprétation la plus cohérente et favorable que l'on puisse faire de ses déclarations très variables et souvent confuses – soutenir que le financement des projets englobait, à concurrence d'un tiers des fonds</w:t>
      </w:r>
    </w:p>
    <w:p>
      <w:r>
        <w:t>- 43/57 - P/5379/2012 investis, celui de "la structure" censée les développer selon lui, soit ses sociétés M______ et N______, et, par une sorte d'effet ricochet, ses dépenses personnelles, dans la mesure où les sociétés lui devaient des salaires et dès lors qu'il "devait bien vivre". 2.8.3.1. En ce qui concerne les fonds provenant du L______, l'argument ne résiste pas à l'examen pour ce motif déjà que, au-delà du versement effectué en mains du notaire en vue de la conclusion du contrat de vente, cet établissement avait lié le moment et le montant de ses paiements à l'avancement des travaux, ainsi que cela résulte du courrier du 16 octobre 2009 de AO______ (20'215), des déclarations dudit témoin et de celles de AK______ ainsi que de AA______. 2.8.3.2. D'une façon plus générale, la thèse d'un accord sur une telle répartition, contesté par les investisseurs et la représentante du L______, n'est confirmé par aucun élément du dossier, étant observé que les documents détaillant les coûts des travaux ne visent, précisément, que des travaux, sans allusion au moindre frais de gestion. Un tel accord aurait été incompatible avec le montant estimé des travaux, ne laissant place qu'à une marge d'EUR 484'000.- à EUR 247'500.- selon les tableaux concernant l'état du programme de O______ au 31 mars 2008 (47'731), 3 novembre 2008 (pièce C TCor) et 21 avril 2009 (pièce D TCor), soit un bénéfice ne couvrant pas même les sommes dont ont profité l'appelant et ses sociétés suisses, ce qui n'aurait donc laissé aucun avantage pour les investisseurs. Un tel accord n'aurait eu aucun sens au plan économique. Les affirmations de l'appelant sont encore contredites par le budget d'exploitation de M______ pour 2008, mentionnant une commission de vente de O______ de CHF 100'000.-, montant confirmé par AA______. Enfin, si besoin encore était, l'inexistence de l'accord se déduit des contradictions dans les déclarations de l'appelant. Celui-ci a en effet tour à tour affirmé, en des termes très généraux, (i) que la marge nécessaire pour couvrir ses dépenses avait été dégagée moyennant une réduction du coût des travaux de EUR 1'000'000.- à EUR 650'000.- – ce qui est au demeurant incompatible avec le fait qu'il s'est approprié bien plus que la différence entre ces deux sommes –, (ii) que la partie plaignante G______ et lui avaient décidé de payer d'autres factures que celles des travaux parce qu'il y avait un excès de liquidités – contrevérité flagrante, au regard de l'insuffisance patente de fonds dont a souffert la promotion –, (iii) que la décision d'affecter un tiers des avoirs à la couverture des frais généraux avait été prise par son comptable et lui, dès lors que le coût des travaux n'était en définitive devisé qu'à EUR 650'000.-, (iv) qu'il était "évident" qu'il avait "le droit" de prélever une partie des fonds pour les frais généraux de ses sociétés et ses propres revenus, sans quoi il</w:t>
      </w:r>
    </w:p>
    <w:p>
      <w:r>
        <w:t>- 44/57 - P/5379/2012 n'aurait pas participé au projet. En définitive, ce n'est qu'à l'audience d'appel qu'il a affirmé (v) que la partie plaignante G______ – ce qui, soit dit en passant, ne serait pas pour autant opposable aux autres investisseurs – aurait accepté de "maintenir la structure, soit les salaires des employés ou mandataires", lors de la réunion précitée chez le comptable, peu après l'acquisition de l'immeuble par la W______. Ces variations démontrent bien qu'il n'y a en réalité jamais eu d'accord préalable selon lequel les fonds versés par le L______ ou directement par les investisseurs seraient affectés à d'autres coûts que des coûts directement liés à la promotion de O______, voire celle de AJ______. 2.8.3.3. Certes, il semblerait que, mises devant le fait accompli, et s'entendant affirmer que cela était nécessaire pour éviter un échec de toute l'opération, certaines parties plaignantes n'aient pas protesté en prenant connaissance, entre mars et l'été 2011, des tableaux des dépenses établis, selon les propres dires de l'appelant, "après- coup", pour expliquer l'emploi des fonds – aveu implicite qu'il n'y avait pas eu d'accord préalable – mais on ne saurait déduire une ratification de cette absence de réaction, sans préjudice de ce qu'on ignore ce que les intéressés ont véritablement compris de la situation. 2.8.3.4. Par un dernier moyen, l'appelant a encore tenté d'échapper à la condamnation en plaidant avoir pêché par ignorance et/ou avoir été victime des errements de tiers, en particulier de la banque et du notaire. Il est exact que l'appelant a fait preuve non seulement d'incompétence, mais aussi d'arrogance, pour s'être lancé dans une promotion immobilière alors qu'il ne semble avoir eu aucune idée de ce que cela impliquait et sans y mettre le moindre centime, entraînant avec lui les parties plaignantes. Il n'est par ailleurs pas impossible que le L______ et Me AP______ aient aussi joué un rôle dans le fait que dès le départ, le projet s'est avéré insuffisamment financé. Il n'en demeure pas moins que confronté, selon ses propres dires, dès la signature à ces difficultés, et réalisant aussi que la structure choisie ne lui réservait pas de rémunération, l'appelant s'est bien gardé d'aborder ces questions avec les intimés, et a décidé de s'approprier une part importante des fonds destinés à la promotion de O______ puis à celle de AJ______ censée sauver la première, pour couvrir, généreusement, ses besoins personnels et familiaux ainsi que les charges de ses sociétés suisses, dont la situation financière était mauvaise. Il a donc agi unilatéralement et intentionnellement, sachant qu'il affectait les fonds confiés à d'autres destinations que celle convenue, s'enrichissant de la sorte, ou enrichissant ses sociétés. 2.8.4. L'appel est par conséquent rejeté, et le jugement confirmé, en ce qu'il reconnait l'appelant coupable d'abus de confiance s'agissant des fonds confiés par les parties plaignantes, directement, ou au travers d'emprunts souscrits auprès du L______, à compter du versement de l'intimée H______ du 7 décembre 2009 (CHF 700.-).</w:t>
      </w:r>
    </w:p>
    <w:p>
      <w:r>
        <w:t>- 45/57 - P/5379/2012</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- 46/57 - P/5379/2012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3.2.2. S'il prononce une peine privative assortie d'un sursis partiel, le juge doit non seulement fixer au moment du jugement la quotité de la peine qui est exécutoire et celle qui est assortie du sursis mais également mettre en proportion adéquate une partie à l'autre. Il dispose à cette fin d'un large pouvoir d'appréciation. Au nombre des critères pertinents, il y a celui de la faute de l'auteur (art. 43 al. 1 CP) et celui de la probabilité d'un comportement futur de l'auteur conforme à la loi.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3.2.3. Le sursis (partiel) peut être assorti d'une règle de conduite (art. 44 al. 2 CP) adaptée au but de la mesure, qui est l'amendement durable du condamné. Elle ne doit pas avoir un rôle exclusivement punitif et son but ne saurait être de porter préjudice. Elle doit être conçue en premier lieu dans l'intérêt du condamné et de manière à ce qu'il puisse la respecter ; elle doit par ailleurs avoir un effet éducatif limitant le danger de récidive (arrêt du Tribunal fédéral 6B_626/2008 du 11 novembre 2008 consid. 6.1 ; ATF 130 IV 1 consid. 2.1 p. 2 s). Le choix et le contenu de la règle de conduite doivent s'inspirer de considérations pédagogiques, sociologiques et médicales (ATF 107 IV 88 consid. 3a) p. 89 concernant l'art. 38 ch. 3 aCP) et respecter le principe de la proportionnalité. Aussi, une règle de conduite en soi raisonnable ne saurait avoir pour effet d'imposer au condamné, au vu de sa situation, un sacrifice excessif. La règle de conduite doit tenir compte de la nature de l'infraction commise et des infractions que le condamné risque de commettre à nouveau (ATF 130 IV 1 consid. 2.2 p. 4).</w:t>
      </w:r>
    </w:p>
    <w:p>
      <w:r>
        <w:t>3.3.1. La faute de l'appelant est importante. Il s'est choisi des proies faciles à convaincre, en raison de la confiance qu'elles avaient en lui et de leur inexpérience en affaires, sans éprouver le moindre scrupule face au fait qu'il s'agissait aussi de personnes modestes, dont il s'est non seulement approprié les économies y compris provenant du système du 2ème pilier, mais qu'il a aussi amenées à s'endetter pour participer à un investissement immobilier. Sous le couvert de cette promotion, fort</w:t>
      </w:r>
    </w:p>
    <w:p>
      <w:r>
        <w:t>- 47/57 - P/5379/2012 hasardeuse, puis d'une nouvelle censée "sauver" la précédente, il s'est approprié des montants très importants pour assurer son train de vie confortable, celui de sa famille et supporter les charges de ses sociétés, alors qu'il ne pouvait ignorer qu'en agissant de la sorte, il en précipitait l'échec à supposer qu'il ne fût d'emblée inéluctable. Dans une fuite en avant, il a sollicité et obtenu de nouveaux versements de ses victimes, jouant de leur crainte de perdre ce qui avait déjà été investi. La période pénale est longue, les occurrences comme les lésés nombreux, et la détermination délictuelle doit être qualifiée de forte, l'appelant ayant déployé une activité intense pour convaincre ses victimes et mettre en place un mécanisme complexe.</w:t>
      </w:r>
    </w:p>
    <w:p>
      <w:r>
        <w:t>Les mobiles sont purement égoïstes, relevant d'un appât d'un gain important, mâtiné de vanité, s'agissant de se donner l'apparence d'une réussite sociale, de revêtir l'habit d'un promoteur à la tête d'une "structure" comptant notamment plusieurs employés, et capable de s'assurer et d'assurer aux siens un train de vie élevé. La collaboration de l'appelant a été médiocre, celui-ci s'enferrant dans les dénégations ou explications confuses et contradictoires, à l'effet de déplacer la responsabilité sur des tiers (notaire, banque, ses collaborateurs Z______ et AA______) voire la partie plaignante G______ ou ex-partie plaignante AK______. Il n'y a aucune prise de conscience, ni démarche d'introspection, l'appelant affirmant sans sourciller qu'il se verrait bien retenter l'expérience d'une promotion immobilière, avec l'espoir de remporter un jour quelque succès, comme s'il s'agissait d'un jeu. D'ailleurs, l'intéressé ne semble pas regretter ses agissements, n'a jamais rien entrepris pour réparer le préjudice causé et, au contraire, résiste aux tentatives de recouvrement des lésés. La situation de l'appelant était équilibrée, tant au plan personnel que professionnel, de sorte que rien ne justifie, ni même ne permet de comprendre, son choix de recourir à des expédients illicites, avec de si lourdes conséquences pour les lésés. Ses antécédents ne sont pas spécifiques, ni lourds, et ne pèsent guère dans la fixation de la peine, étant cependant observé qu'il peut déjà être déduit de ce passé une certaine désinvolture à l'égard des règles. Au regard de l'ensemble de ces circonstances, la Cour estime adéquate une peine privative de liberté de 30 mois. 3.3.2. Cette quotité exclut l'octroi du sursis. Reste le sursis partiel, acquis dans son principe à l'appelant. Certes, la forte volonté délictuelle dont celui-ci a fait preuve, l'absence de prise de conscience, et son intention affichée de se relancer dans une activité de promotion</w:t>
      </w:r>
    </w:p>
    <w:p>
      <w:r>
        <w:t>- 48/57 - P/5379/2012 immobilière font que le risque de récidive est particulièrement important. Il devrait cependant pouvoir être contenu par la mise en place de garde-fous sérieux, sous la forme du long délai d'épreuve de cinq ans et de la règle de conduite prescrite par les premiers juges, conditions qui n'ont d'ailleurs pas été discutées, et donc critiquées, dans la procédure d'appel. La partie à exécuter de la peine sera ramenée au minimum légal, soit six mois, compte tenu de ce qu'il s'agit de la première condamnation de l'appelant à une peine privative de liberté ferme, laquelle intervient en outre relativement tardivement dans son parcours de vie. Ce choix présente aussi pour avantage de laisser une longe partie de peine suspendue ce qui constitue une sérieuse épée de Damoclès venant compléter les mesures visant à limiter le risque de récidive.</w:t>
      </w:r>
    </w:p>
    <w:p>
      <w:r>
        <w:rPr>
          <w:b/>
        </w:rPr>
        <w:t>E. 4.1</w:t>
      </w:r>
    </w:p>
    <w:p>
      <w:r>
        <w:t>L'appelant n'a pas explicité ses conclusions à l'encontre du prononcé civil relatif à la réparation du dommage matériel causé à C______, F______, E______ et I______, alors qu'il ne reconnait les chiffres articulés au titre de leurs versements. Il n'y a partant pas lieu d'entrer en matière.</w:t>
      </w:r>
    </w:p>
    <w:p>
      <w:r>
        <w:rPr>
          <w:b/>
        </w:rPr>
        <w:t>E. 4.2</w:t>
      </w:r>
    </w:p>
    <w:p>
      <w:r>
        <w:t>L'argument tiré de la litispendance – voire de l'autorité de la force de chose jugée – avec la procédure l'opposant à la partie plaignante H______ est pour sa part manifestement infondé pour ce motif déjà que les conclusions prises par et allouées à cette partie plaignante dans le cadre de la présente procédure ont trait aux sommes qu'elle a confiées à partir du 17 février 2011, alors que l'action en libération de dette vaudoise fait suite à une commandement de payer fondé sur les versements antérieurs et objet, en dernier lieu, du contrat de prêt du 21 décembre 2010, comme mentionné sur l'acte de poursuite de payer. L'objet du litige n'est partant pas identique.</w:t>
      </w:r>
    </w:p>
    <w:p>
      <w:r>
        <w:t>Au surplus, lesdites conclusions civiles ne sont pas touchées par les acquittements supplémentaires prononcés supra, également en lien avec ledit contrat.</w:t>
      </w:r>
    </w:p>
    <w:p>
      <w:r>
        <w:rPr>
          <w:b/>
        </w:rPr>
        <w:t>E. 4.3</w:t>
      </w:r>
    </w:p>
    <w:p>
      <w:r>
        <w:t>L'appel est ainsi rejeté en ce qu'il vise le prononcé civil.</w:t>
      </w:r>
    </w:p>
    <w:p>
      <w:r>
        <w:rPr>
          <w:b/>
        </w:rPr>
        <w:t>E. 5.1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w:t>
      </w:r>
    </w:p>
    <w:p>
      <w:r>
        <w:t>- 49/57 - P/5379/2012 justifiés (Message du 21 décembre 2005 relatif à l'unification du droit de la procédure pénale, FF 2006 1313 ch. 2.10.3.1).</w:t>
      </w:r>
    </w:p>
    <w:p>
      <w:r>
        <w:rPr>
          <w:b/>
        </w:rPr>
        <w:t>E. 5.2</w:t>
      </w:r>
    </w:p>
    <w:p>
      <w:r>
        <w:t>L'appelant prétend à bon escient à une indemnité liée à ses frais de défense ensuite de l'acquittement prononcé au sujet des fonds provenant de J______, étant rappelé que pour ce volet, il ne plaidait pas au bénéfice de l'assistance judiciaire, nonobstant ses requêtes en ce sens. Au regard de la complexité, certes relative, mais pas inexistante, de la cause et de l'enjeu, en termes de peine encourue, il se justifiait que l'intéressé fît appel aux services d'un avocat. En ce qui concerne le quantum, la liste des opérations effectuées parait raisonnable, de même que le tarif pratiqué, d'où l'octroi d'une indemnité par CHF 10'413.15.</w:t>
      </w:r>
    </w:p>
    <w:p>
      <w:r>
        <w:rPr>
          <w:b/>
        </w:rPr>
        <w:t>E. 5.3</w:t>
      </w:r>
    </w:p>
    <w:p>
      <w:r>
        <w:t>La créance de l'appelant en couverture de ses frais de défense sera toutefois compensée, à due concurrence, avec sa dette envers l'Etat afférente aux frais de procédure (cf. infra consid. 6.2.1 et 6.2.2. ; art. 442 al. 4 CPP ; ATF 139 IV 243).</w:t>
      </w:r>
    </w:p>
    <w:p>
      <w:r>
        <w:rPr>
          <w:b/>
        </w:rPr>
        <w:t>E. 6.1</w:t>
      </w:r>
    </w:p>
    <w:p>
      <w:r>
        <w:t>Selon l'art. 428 al. 1 première phrase CPP, les frais de la procédure de recours sont mis à la charge des parties dans la proportion où elles ont obtenu gain de cause ou succombé. En outre, dans la mesure où elle rend elle-même une nouvelle décision, l'autorité de recours revoit la répartition des frais par l'autorité inférieure (art. 428 al. 3 CPP).</w:t>
      </w:r>
    </w:p>
    <w:p>
      <w:r>
        <w:t>6.2.1. Les frais de la procédure préliminaire portant sur le complexe de fait dénoncé par J______, soit CHF 907.- doivent être laissés à la charge de l'Etat.</w:t>
      </w:r>
    </w:p>
    <w:p>
      <w:r>
        <w:t>En ce qui concerne l'autre volet, l'appelant succombe sur le principe de sorte que l'ouverture de la procédure pénale s'avère fondée. Il est acquitté d'un complexe de fait relativement simple, les prêts personnels étant définis comme tels par des contrats produits avec la plainte déjà, sauf celui évoqué dans la récente décision de la Chambre patrimoniale cantonale vaudoise, et reconnu coupable pour le second, qui couvrait deux sous-chapitres (prêts hypothécaires ; versements par les investisseurs) qui ont nécessité davantage de travail, notamment s'agissant d'apprécier le bien-fondé de l'argument de la répartition des fonds prétendument convenue, tel qu'allégué par la défense, sans préjudices des explications confuses de l'intéressé. Il succombe encore en ce qui concerne les prétentions civiles. Dans ces circonstances, il se justifie de mettre à sa charge trois quart des frais de l'instruction préliminaire, soit CHF 50'200.- (arrondi).</w:t>
      </w:r>
    </w:p>
    <w:p>
      <w:r>
        <w:t>Les frais liés à la procédure de jugement, par CHF 9'754.-, pour les deux procédures, désormais jointes, lui incomberont en revanche à concurrence de la moitié, soit CHF 5'000.- (arrondi), compte tenu de l'issue favorable s'agissant de la cause J______ / M______.</w:t>
      </w:r>
    </w:p>
    <w:p>
      <w:r>
        <w:t>- 50/57 - P/5379/2012</w:t>
      </w:r>
    </w:p>
    <w:p>
      <w:r>
        <w:t>Aussi, l'appelant supportera les frais de première instance à concurrence de CHF 55'200.-.</w:t>
      </w:r>
    </w:p>
    <w:p>
      <w:r>
        <w:t>6.2.2. Vu l'issue de la procédure, l'appelant doit être tenu pour avoir partiellement succombé de sorte que la moitié des frais lui en incomberont, lesquels comprennent un émolument de décision de CHF 6'000.- (art. 14 al. 1 let. e du règlement fixant le tarif des frais en matière pénale, du 22 décembre 2010 [RTFMP ; RS-GE E 4 10.03]).</w:t>
      </w:r>
    </w:p>
    <w:p>
      <w:r>
        <w:rPr>
          <w:b/>
        </w:rPr>
        <w:t>E. 7</w:t>
      </w:r>
    </w:p>
    <w:p>
      <w:r>
        <w:t>Selon l'art. 433 CPP, la partie plaignante peut demander que le prévenu supporte ses dépenses obligatoires, dans la mesure où elle a obtenu gain de cause.</w:t>
      </w:r>
    </w:p>
    <w:p>
      <w:r>
        <w:t>L'appelant a conclu à ce que les parties plaignantes soient déboutées de toutes leurs conclusions. Il faut ainsi admettre qu'il critiquait également l'octroi de l'indemnité arrêtée par les premiers juges au titre de la disposition précitée. Dans la mesure où il s'est abstenu du moindre développement, la Cour retiendra toutefois qu'il ne remet pas en cause la liste des opérations retenue par les premiers juges et le taux horaires par eux appliqué.</w:t>
      </w:r>
    </w:p>
    <w:p>
      <w:r>
        <w:t>A l'issue de la procédure cantonale, l'appelant s'avère avoir succombé sur le principe, un verdict de culpabilité étant prononcé et des conclusions civiles allouées, mais il a néanmoins été libéré d'une partie des reproches faits à son encontre par les parties plaignantes concernées. Il se justifie partant de ne mettre à sa charge que deux tiers des frais d'avocat des celles-ci soit, avant procédure d'appel, CHF 21'611.60 (= CHF 32'417.50 x 2/3).</w:t>
      </w:r>
    </w:p>
    <w:p>
      <w:r>
        <w:t>Pour la procédure de deuxième instance, et nonobstant le silence de l'appelant, il y a lieu de retrancher les trois heures facturées, sans autre explication, par Me D______, chef d'étude, alors que celles à l'actif de son collaborateur paraissent couvrir l'intégralité de l'activité nécessaire et accomplie. Il faut également retrancher deux heures de la note d'honoraires, la présence à l'audience n'ayant pu mobiliser que quatre heures (trois heures d'audience et une heure par l'aller-retour Lausanne- Genève). Aussi, l'appelant sera-t-il condamné à payer aux intimés la somme de CHF 3'620.- (= [15h30 x CHF 350.-/heure] x 2/3) plus la TVA au taux de 8% par CHF 289.60, soit, au total, CHF 3'909.60.</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- 51/57 - P/5379/2012</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collaborateur CHF 125.- (let. b) ; chef d'étude CHF 200.- (let. c). En cas d'assujettissement – l'assujettissement du patron de l'avocat au statut de collaborateur n'entrant pas en considération (arrêts du Tribunal fédéral 6B_486/2013 du 16 juillet 2013 consid. 4 et 6B_638/2012 du</w:t>
      </w:r>
    </w:p>
    <w:p>
      <w:r>
        <w:rPr>
          <w:b/>
        </w:rPr>
        <w:t>E. 8.3</w:t>
      </w:r>
    </w:p>
    <w:p>
      <w:r>
        <w:t>L'activité facturée pour l'établissement de la déclaration d'appel et du courrier relatif à la levée du séquestre sera donc écartée, car déjà couverte par le forfait. Pour le surplus, il convient de tenir en l'occurrence compte de ce que le dossier était certes complexe et volumineux, mais que le défenseur d'office de l'appelant le connaissait bien, pour avoir assisté ce dernier depuis le mois de mai 2013 et l'avoir, en particulier, défendu lors des débats de première instance. Dès lors, on ne voit pas comment près de 10 heures d'entretien du défenseur d'office et/ou son collaborateur avec l'appelant peuvent avoir été nécessaires à la défense de deuxième instance, d'autant que vu ses déclarations confuses et variant sans cesse – tel a encore été le cas lors des débats devant la CPAR – l'intéressé n'était guère susceptible d'apporter des éléments utiles à ses défenseurs, ni d'intégrer de longs et élaborés conseils sur l'attitude à adopter. La CPAR retiendra que seules deux heures peuvent, à la rigueur, être tenues pour nécessaires. De même, les 42 heures et 10 minutes (lecture du jugement comprise) consacrées à la préparation de la défense sont largement excessives, eu égard aussi aux arguments en définitive développés. Voulant faire preuve d'une certaine compréhension, la CPAR en retiendra 25. S'y ajoutent les trois heures qu'ont duré les débats. En définitive, le temps adéquatement consacré par la défense à ce dossier en appel est de 30 heures auxquelles il sera, par mesure de simplification, appliqué le taux réservé aux chefs d'étude.</w:t>
      </w:r>
    </w:p>
    <w:p>
      <w:r>
        <w:t>En conclusion, l'indemnité de Me B______ sera arrêtée à CHF 7'128.-correspondant à 30 heures d'activité au tarif de CHF 200.-/heure plus la majoration forfaitaire de 10% (vu l'activité précédemment déployée) et l'équivalent de la TVA au taux de 8% en CHF 528.-. 9. Par souci de clarté, le dispositif du jugement sera intégralement annulé et formulé à nouveau. * * * * *</w:t>
      </w:r>
    </w:p>
    <w:p>
      <w:r>
        <w:t>- 54/57 - P/5379/2012</w:t>
      </w:r>
    </w:p>
    <w:p>
      <w:r>
        <w:rPr>
          <w:b/>
        </w:rPr>
        <w:t>E. 10</w:t>
      </w:r>
    </w:p>
    <w:p>
      <w:r>
        <w:t>décembre 2012 consid. 3.7) – l'équivalent de la TVA est versé en sus.</w:t>
      </w:r>
    </w:p>
    <w:p>
      <w:r>
        <w:t>8.2.2.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w:t>
      </w:r>
    </w:p>
    <w:p>
      <w:r>
        <w:t>- 52/57 - P/5379/2012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w:t>
      </w:r>
    </w:p>
    <w:p>
      <w:r>
        <w:t>- 53/57 - P/5379/2012</w:t>
      </w:r>
    </w:p>
    <w:p>
      <w:r>
        <w:t>8.2.4. Au nombre des démarches diverses ainsi indemnisées forfaitairement, il y a en particulier la rédaction de la déclaration d'appel, celle-ci ne nécessitant pas de motivation à teneur de la loi (ordonnance et décisions de la Cour des plaintes du Tribunal pénal fédéral BB.2014.51 du 21 novembre 2014 consid. 2.1 ; BB.2013.165 du 24 janvier 2014 consid. 4.1.3 et BB.2013.127 du 4 décembre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