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AARP/21/2015 vom 9. Januar 2015</w:t>
      </w:r>
    </w:p>
    <w:p>
      <w:r>
        <w:t>GE Cour de justice, 2015-01-09, FR</w:t>
      </w:r>
    </w:p>
    <w:p>
      <w:r>
        <w:rPr>
          <w:b/>
        </w:rPr>
        <w:t xml:space="preserve">Quelle: </w:t>
      </w:r>
      <w:r>
        <w:t>https://mcp.opencaselaw.ch/entscheid/ge_gerichte_AARP_21_2015</w:t>
      </w:r>
    </w:p>
    <w:p>
      <w:r>
        <w:t>FR: GE_GERICHTE AARP/21/2015 du 9 janvier 2015</w:t>
      </w:r>
    </w:p>
    <w:p>
      <w:r>
        <w:t>IT: GE_GERICHTE AARP/21/2015 del 9 gennaio 2015</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1.2</w:t>
      </w:r>
    </w:p>
    <w:p>
      <w:r>
        <w:t>Aux questions répertoriées par le Tribunal fédéral que la juridiction d'appel est invitée à traiter s'ajoutent l'examen de la circonstance atténuante de l'émotion violente et, subsidiairement, l'application de l'art. 52 CP.</w:t>
      </w:r>
    </w:p>
    <w:p>
      <w:r>
        <w:rPr>
          <w:b/>
        </w:rPr>
        <w:t>E. 2.1</w:t>
      </w:r>
    </w:p>
    <w:p>
      <w:r>
        <w:t>La notion de lésions corporelles simples est définie à l'article 123 CP, qui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w:t>
      </w:r>
    </w:p>
    <w:p>
      <w:r>
        <w:t>- 8/18 - P/17550/2008 corps humain, même si celle-ci est superficielle et de peu d'importance (ATF 119 IV 25 consid. 2a p. 27). La distinction entre lésions corporelles et voies de fait peut s'avérer délicate, notamment lorsque l'atteinte s'est limitée à des contusions, meurtrissures, écorchures ou griffures.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occasionnait des lésions corporelles ; il en allait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2.2</w:t>
      </w:r>
    </w:p>
    <w:p>
      <w:r>
        <w:t>En l'espèce, l'atteinte à l'intégrité corporelle de la plaignante ne s'est pas limitée à des contusions, meurtrissures, écorchures ou griffures, qui pourraient justifier des voies de fait. Le certificat médical des HUG mentionne des dermabrasions dans la région nasale, une plaie superficielle sur la face et des ecchymoses à plusieurs endroits du corps. Sur la base des mêmes constatations, le témoin C______ en avait</w:t>
      </w:r>
    </w:p>
    <w:p>
      <w:r>
        <w:t>- 9/18 - P/17550/2008 déduit que la partie plaignante avait été battue. Selon le médecin légiste, certaines lésions étaient évocatrices d'une violence exercée au niveau du cou et les blessures constatées sur le visage étaient compatibles avec des coups de poing, lesquels ont précisément été reconnus par l'appelant. L'appréciation de la psychologue qui a diagnostiqué divers symptômes compatibles avec des actes de violence d'une certaine gravité constitue un indice supplémentaire pour retenir la qualification de lésions corporelles, laquelle doit être confirmée. 2.3.1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La défense doit apparaître proportionnée au regard de l’ensemble des circonstances. Doivent être examinés la gravité de l’attaque, les biens juridiques menacés par celle-ci et par les moyens de défense, la nature de ces derniers ainsi que l’usage concret qui en a été fait. Les biens juridiquement protégés de part et d’autre doivent également être mis en balance. Encore faut-il que le résultat de cette pesée des dangers en présence soit reconnaissable sans peine par celui qui veut repousser l’attaque, l’expérience enseignant qu’il doit réagir rapidement (ATF 107 IV 12 consid. 3 p. 15 ; ATF 102 IV 65 consid. 2a p. 68).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w:t>
      </w:r>
    </w:p>
    <w:p>
      <w:r>
        <w:t>- 10/18 - P/17550/2008 actes apparaît crédible et plausible eu égard à l’ensemble des circonstances (G. PIQUEREZ / A. MACALUSO, Procédure pénale suisse, 3e édition, Zurich 2011, n. 555, p. 189). 2.3.2 L'appelant a reconnu qu'il s'était montré lourd et insistant, notamment après que la plaignante eut manifesté sa réticence et crié. Il l'avait fermement tenue par le cou, lui avait tiré les cheveux et l'avait frappée. Contrairement à ce qu'il soutient dorénavant, ses actes empreints de violence ont précédé l'épisode de coups réciproques, chacun réagissant alors à la provocation de l'autre. L'appelant a lui- même créé un climat hostile, laissant croire à la plaignante que sa vie était en danger et qu'elle risquait de subir un viol si elle ne réagissait pas d'une manière ou d'une autre. En se déshabillant pour éprouver un sentiment de nudité, l'appelant a apparemment démontré sa détermination, même s'il ne voulait pas dans son for intérieur passer à l'acte. Il n'a eu de cesse de continuer ses actes, interprétant chacune des attitudes de la partie plaignante comme insignifiante (elle lui avait repoussé la main dans un geste qu'il n'avait pas jugé ferme, elle gigotait un peu sans être franche, en insistant un peu, il pensait pouvoir passer du temps avec elle, etc.). La plaignante n'a fait que répondre à des provocations de sa part, certes avec force, ce que son état d'alcoolisation peut expliquer. Elle a au surplus été constante dans son récit dans le sens où l'appelant avait commencé par la frapper en entrant dans le logement. Ainsi l'appelant n'a-t-il pas apporté la preuve, même au stade de la vraisemblance, qu'il avait agi en réaction à une attaque ou à la menace d'une attaque imminente, de sorte qu'il ne saurait se prévaloir d'un état de légitime défense. 2.4.1 La portée de la circonstance atténuante prévue à l'art. 48 let. c CP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w:t>
      </w:r>
    </w:p>
    <w:p>
      <w:r>
        <w:t>- 11/18 - P/17550/2008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2.4.2 Il a été admis supra que l'appelant a commencé par frapper la partie plaignante. Le sentiment de frustration et les douleurs ressenties après que la victime se fut rebellée en réaction à ses propres excès ne sauraient avoir conduit l'appelant dans un désarroi profond témoignant d'une émotion violente. Celui-ci s'est mis lui-même dans une impasse, en refusant de céder devant la résistance affichée par sa victime. Il ne s'est pas retrouvé dans une situation dramatique où il aurait été piégé, puisqu'il lui était loisible de quitter les lieux sans en être empêché, ce qu'aurait fait tout autre individu capable de se maîtriser. C'est d'ailleurs ce qu'il a fait au terme de l'altercation. L'appelant ne peut pas se prévaloir de la circonstance atténuante de l'art. 48 let. c CP, car, par son comportement, il tient une responsabilité prépondérante dans l'escalade des coups échangés, en insistant malgré le refus affiché par l'intimée qui lui avait peu ou prou fait comprendre son refus de céder à ses avances. Aussi cette circonstance atténuante ne doit-elle pas être retenue en faveur de l'appelant.</w:t>
      </w:r>
    </w:p>
    <w:p>
      <w:r>
        <w:rPr>
          <w:b/>
        </w:rPr>
        <w:t>E. 3.1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t>- 12/18 - P/17550/2008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En présence d'une infraction poursuivie sur plainte, l'art. 52 CP doit être appliqué avec retenue et seulement en présence de cas bagatelle absolus (N. SCHMID, Schweizerische Strafprozessordnung : Praxiskommentar, 2e éd., Zurich 2013, n. 4 ad art. 8).</w:t>
      </w:r>
    </w:p>
    <w:p>
      <w:r>
        <w:rPr>
          <w:b/>
        </w:rPr>
        <w:t>E. 3.2</w:t>
      </w:r>
    </w:p>
    <w:p>
      <w:r>
        <w:t>La faute de l’appelant ne peut être qualifiée de cas bagatelle, même en tenant compte des circonstances particulières du contentieux l'ayant opposé à la partie plaignante et du temps écoulé. Le résultat des actes reprochés n’est pas non plus anodin compte tenu du bien juridique protégé, à savoir l'intégrité corporelle, ainsi que de son impact sur le psychisme de la victime. Il ne peut dès lors être admis que tant la culpabilité que les conséquences des actes de l'appelant sont peu importantes, au point qu’il puisse bénéficier d’une exemption de peine qui, si elle venait à être retenue, reviendrait à vider l'art. 123 CP de son sens.</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- 13/18 - P/17550/2008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 (ATF 136 IV 1 consid. 2.6 p. 2).</w:t>
      </w:r>
    </w:p>
    <w:p>
      <w:r>
        <w:rPr>
          <w:b/>
        </w:rPr>
        <w:t>E. 3.4</w:t>
      </w:r>
    </w:p>
    <w:p>
      <w:r>
        <w:t>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 amende. Les deux facteurs doivent être fixés séparément dans le jugement (al. 4). (…) (ATF 134 IV 1 consid. 5 et 6 p. 9 et 15 ; arrêt du Tribunal fédéral 6B_541/2007 du 13 mai 2008 consid. 5 et 6).</w:t>
      </w:r>
    </w:p>
    <w:p>
      <w:r>
        <w:rPr>
          <w:b/>
        </w:rPr>
        <w:t>E. 3.4.1</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rPr>
          <w:b/>
        </w:rPr>
        <w:t>E. 3.4.2</w:t>
      </w:r>
    </w:p>
    <w:p>
      <w:r>
        <w:t>La détermination de la quotité du jour-amende se fait selon le principe du revenu net, soit celui que l'auteur réalise en moyenne quotidiennement, quelle qu'en soit la source, ce qui inclut notamment les prestations d'aide sociale.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Le Tribunal fédéral a désormais fixé le montant minimal du jour-amende à CHF 10.-, même pour les condamnés bénéficiant d'un faible revenu (ATF 135 IV 180 consid. 1.4.2 et arrêt 6B_760/2008 du 30 juin 2009 consid. 2.1).</w:t>
      </w:r>
    </w:p>
    <w:p>
      <w:r>
        <w:t>- 14/18 - P/17550/2008 3.5.1 La faute de l'appelant est significative. Il a fait un usage inadmissible de la violence, tant physique que verbale, dans un contexte de frustration, afin d'obtenir les faveurs de la plaignante. Confronté à son refus, il a choisi de se montrer insistant, menaçant, essayant de jouer sur les faiblesses de la partie plaignante pour arriver à ses fins, quitte à user de moyens détournés. Sa collaboration n'a pas été bonne. Bien qu'il ait admis certains faits, il n'a eu de cesse d'essayer de faire supporter à la plaignante la responsabilité de leur altercation. A ce stade de la procédure et malgré le temps écoulé, l'appelant ne semble toujours pas avoir pris conscience du caractère répréhensible de ses actes. Il se complait dans ses problèmes personnels plutôt que de manifester quelque sentiment de compassion pour la victime, même si, de la correspondance du père de l'appelant, on peut comprendre que son retour à la vie normale n'a pas été aisé. L'appelant est sans antécédent spécifique. Dans ces circonstances, la peine de 180 jours-amende est en adéquation avec la faute de l'appelant. Le temps écoulé et les vicissitudes de la procédure ont cependant eu pour effet de tenir sous pression l'appelant, sans compter les effets néfastes sur sa capacité de recouvrer un emploi dans sa branche d'activité. Pour ces motifs, la peine sera revue à la baisse et fixée à 140 jours-amende. Le délai d'épreuve doit être laissé à trois ans vu le peu d'introspection de l'appelant et sa propension à faire preuve de violence face à la résistance d'autrui. Un délai d'épreuve non réduit au minimum est de nature à opérer un effet dissuasif. 3.5.2 L'appelant n'a pas de charges familiales. Il vit avec son père, qui lui demande de participer aux frais en fonction de ses ressources mais n'exige aucun loyer. Ses revenus n'ont pas dépassé les EUR 1'000.-, que ce soit sous forme d'activité salariée ou comme indemnités de chômage. Sa capacité contributive reste de toute évidence assez limitée et ses ressources précaires. Les efforts fournis pour sa reconversion personnelle sont louables mais ils ne sauraient déboucher à court terme sur une amélioration significative de ses revenus. Il apparaît assez clairement que le montant du jour-amende, fixé en 2010 à CHF 50.-, ne correspond pas à ses capacités financières actuelles qui sont objectivement proches du minimum vital. Aussi ce montant sera-t-il réduit à CHF 10.-, ce qui entraîne une modification du jugement entrepris sur ce point.</w:t>
      </w:r>
    </w:p>
    <w:p>
      <w:r>
        <w:rPr>
          <w:b/>
        </w:rPr>
        <w:t>E. 4</w:t>
      </w:r>
    </w:p>
    <w:p>
      <w:r>
        <w:t>Vu l'issue de la procédure d'appel, les prétentions en indemnisation formulées par l'appelant sont infondées et doivent à ce titre être rejetées (art. 429 CPP).</w:t>
      </w:r>
    </w:p>
    <w:p>
      <w:r>
        <w:rPr>
          <w:b/>
        </w:rPr>
        <w:t>E. 5</w:t>
      </w:r>
    </w:p>
    <w:p>
      <w:r>
        <w:t>L'arrêt ACJP/113/2011 du 16 juin 2011 a statué sur les conclusions civiles de la partie plaignante, qu'elle a écartées, et sur le principe de la condamnation de l'appelant aux frais de son adverse partie, sa participation étant limitée au tiers du montant réclamé. Cette partie de l'arrêt de la Chambre pénale n'a pas été contestée, sinon par l'appelant dans l'hypothèse de son acquittement. Il n'y a ainsi pas lieu d'y revenir au terme de la présente procédure d'appel, dans un sens ou un autre. L'intimée sera donc également déboutée de ses conclusions prises lors des débats d'appel.</w:t>
      </w:r>
    </w:p>
    <w:p>
      <w:r>
        <w:t>- 15/18 - P/17550/2008</w:t>
      </w:r>
    </w:p>
    <w:p>
      <w:r>
        <w:rPr>
          <w:b/>
        </w:rPr>
        <w:t>E. 6.1</w:t>
      </w:r>
    </w:p>
    <w:p>
      <w:r>
        <w:t>Les frais imputables à l'assistance gratuite sont des débours (art. 422 al. 2 let. a CPP) qui constituent des frais de procédure (art. 422 al. 1 CPP)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rPr>
          <w:b/>
        </w:rPr>
        <w:t>E. 6.3</w:t>
      </w:r>
    </w:p>
    <w:p>
      <w:r>
        <w:t>En l'espèce, l'activité du conseil de l'appelant a été estimée à cinq heures, puisque sa revendication porte sur CHF 1'000.- pour son activité exercée sous assistance judiciaire. L'état de frais présenté ne répond à aucune critique et il sera ainsi admis à due concurrence. Il convient d'ajouter à ce montant l'indemnisation forfaitaire de 20 %, soit CHF 200.-, ainsi que la TVA à hauteur de CHF 96.-.</w:t>
      </w:r>
    </w:p>
    <w:p>
      <w:r>
        <w:rPr>
          <w:b/>
        </w:rPr>
        <w:t>E. 7</w:t>
      </w:r>
    </w:p>
    <w:p>
      <w:r>
        <w:t>L’appelant, qui n’obtient que partiellement gain de cause, supportera la moitié des frais de la procédure envers l’Etat (art. 428 CPP) comprenamt un émolument de CHF 2'000.-. Le solde sera laissé à la charge de l’Etat. Dans un souci de clarté, le jugement entrepris sera entièrement annulé et le dispositif reformulé. * * * * *</w:t>
      </w:r>
    </w:p>
    <w:p>
      <w:r>
        <w:t>- 16/18 - P/17550/2008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