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AARP/21/2014 vom 7. Januar 2014</w:t>
      </w:r>
    </w:p>
    <w:p>
      <w:r>
        <w:t>GE Cour de justice, 2014-01-07, FR</w:t>
      </w:r>
    </w:p>
    <w:p>
      <w:r>
        <w:rPr>
          <w:b/>
        </w:rPr>
        <w:t xml:space="preserve">Quelle: </w:t>
      </w:r>
      <w:r>
        <w:t>https://mcp.opencaselaw.ch/entscheid/ge_gerichte_AARP_21_2014</w:t>
      </w:r>
    </w:p>
    <w:p>
      <w:r>
        <w:t>FR: GE_GERICHTE AARP/21/2014 du 7 janvier 2014</w:t>
      </w:r>
    </w:p>
    <w:p>
      <w:r>
        <w:t>IT: GE_GERICHTE AARP/21/2014 del 7 gennaio 2014</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t>- 5/9 - PM/1144/2013</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La libération conditionnelle constitue la règle, son refus l'exception, laquelle ne sera admise que pour de bonnes raisons (ATF 133 IV 201 consid. 2.2 p. 203 ; ATF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Bâle 2007, n. 5 ad. art. 86 ; S. TRECHSEL, Schweizerisches Strafgesetzbuch : Praxiskommentar, Zurich 2008, n. 2 ad. art. 86). En ce qui concerne la possibilité d'émettre un pronostic favorable, celle-ci était déjà exigée par l'art. 38 ch. 1 al. 1 aCP, de sorte que la jurisprudence y relative conserve son actualité (arrêt du Tribunal fédéral 6B.72/2007 du 8 mai 2007 consid. 4.1).</w:t>
      </w:r>
    </w:p>
    <w:p>
      <w:r>
        <w:t>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KUHN/L. MOREILLON/B. VIREDAZ/ A. BISCHOFSKY, La nouvelle partie générale du Code pénal suisse, Berne, 2006, p. 361, S. TRECHSEL, op. cit.,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w:t>
      </w:r>
    </w:p>
    <w:p>
      <w:r>
        <w:t>- 6/9 - PM/1144/2013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w:t>
      </w:r>
    </w:p>
    <w:p>
      <w:r>
        <w:t>Il convient par ailleurs d'examiner si le danger que représente le détenu au moment de sa libération augmenterait, diminuerait ou resterait inchangé en cas d'exécution complète de la peine (A. KUHN/L. MOREILLON/B. VIREDAZ/A. BISCHOFSKY, op. cit., p. 361).</w:t>
      </w:r>
    </w:p>
    <w:p>
      <w:r>
        <w:rPr>
          <w:b/>
        </w:rPr>
        <w:t>E. 2.3</w:t>
      </w:r>
    </w:p>
    <w:p>
      <w:r>
        <w:t>En l’espèce, la condition objective prévue par l’art. 86 al. 1 CP est réalisée depuis le 6 décembre 2013. Le fait que la direction de la prison de La Brenaz ait préavisé positivement la demande de l’appelant, compte tenu de son bon comportement en détention et nonobstant la sanction disciplinaire dont il a fait l'objet, constitue un élément favorable qui ne saurait, à lui seul, conduire à l’octroi d’une libération conditionnelle. En effet, l’appelant a été condamné à deux reprises, en octobre 2006 et en décembre 2007, pour des faits similaires à ceux à l’origine de la peine qu’il purge actuellement, et il a déjà bénéficié d'une libération conditionnelle en septembre 2010, mesure qui ne l'a aucunement dissuadé de réitérer ses agissements illicites, de surcroît durant le délai d'épreuve assortissant cette mesure, commettant à nouveau des faits graves toujours dans le domaine des stupéfiants bien qu'ayant précédemment purgé une très longue peine de prison. Cela montre l'intensité de sa volonté délictueuse et le fait que l’appelant n’a pas pris pleinement conscience du caractère répréhensible de ses actes et encore moins de leur gravité. Il n’est ainsi guère possible de le croire lorsqu’il affirme vouloir s’amender, de sorte qu’il existe un risque concret de récidive en cas de nouvelle libération conditionnelle. Même en admettant l'authenticité de l'offre d'emploi produite et qu'elle soit toujours d'actualité, force est de constater qu'elle ne permettrait pas à l'appelant de se trouver dans une situation fondamentalement différente de celle qui prévalait au moment où il a récidivé, d'autant qu'il apparaît avoir des charges familiales supplémentaires liées à la naissance de ses jumeaux.</w:t>
      </w:r>
    </w:p>
    <w:p>
      <w:r>
        <w:t>- 7/9 - PM/1144/2013 Au vu de ce qui précède, il convient de poser un pronostic défavorable quant au risque de voir l’appelant demeurer en Suisse ou y revenir rapidement et récidiver dans ses activités illicites. Les conditions d’application de l’art. 86 al. 1 CP n’étant pas réalisées, la libération conditionnelle doit être refusée et le jugement entrepris confirmé.</w:t>
      </w:r>
    </w:p>
    <w:p>
      <w:r>
        <w:rPr>
          <w:b/>
        </w:rPr>
        <w:t>E. 3</w:t>
      </w:r>
    </w:p>
    <w:p>
      <w:r>
        <w:t>L’appelant, qui succombe, supportera les frais de la procédure envers l’Etat (art. 428 CPP). * * * * *</w:t>
      </w:r>
    </w:p>
    <w:p>
      <w:r>
        <w:t>- 8/9 - PM/1144/2013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