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AARP/216/2022 vom 22. Juli 2022</w:t>
      </w:r>
    </w:p>
    <w:p>
      <w:r>
        <w:t>GE Cour de justice, 2022-07-22, FR</w:t>
      </w:r>
    </w:p>
    <w:p>
      <w:r>
        <w:rPr>
          <w:b/>
        </w:rPr>
        <w:t xml:space="preserve">Quelle: </w:t>
      </w:r>
      <w:r>
        <w:t>https://mcp.opencaselaw.ch/entscheid/ge_gerichte_AARP_216_2022</w:t>
      </w:r>
    </w:p>
    <w:p>
      <w:r>
        <w:t>FR: GE_GERICHTE AARP/216/2022 du 22 juillet 2022</w:t>
      </w:r>
    </w:p>
    <w:p>
      <w:r>
        <w:t>IT: GE_GERICHTE AARP/216/2022 del 22 luglio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Les infractions aux art. 119 al. 1 LEI et 19 al. 1 LStup sont sanctionnées d’une peine privative de liberté de trois ans au plus ou d’une peine pécuniaire et celles à l'art. 115 al. 1 LEI d'une peine privative de liberté d'un an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- 5/13 - P/6214/2021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2.3</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L'impossibilité doit être liée à la personne du condamné. Il y a donc lieu d'admettre qu'une peine pécuniaire ne peut être prononcée (art. 41 let. b CP) lorsque le condamné ne s'acquittera vraisemblablement pas des jours-amende, par exemple en présence d'un risque de fuite (FF 1999 1787 1849) ou parce qu'il ne dispose pas des moyens suffisants (M. DUPUIS / L. MOREILLON / C. PIGUET / S. BERGER / M. MAZOU / V. RODIGARI [éds], Code pénal - Petit commentaire, 2ème éd., Bâle 2017, n. 3 ad art. 41).</w:t>
      </w:r>
    </w:p>
    <w:p>
      <w:r>
        <w:rPr>
          <w:b/>
        </w:rPr>
        <w:t>E. 2.4</w:t>
      </w:r>
    </w:p>
    <w:p>
      <w:r>
        <w:t>La faute de l'appelant n'est pas de peu d'importance. Si les infractions à la LEI relèvent certes de la petite délinquance, il sied de rappeler que le but juridique protégé, soit le respect de la réglementation en matière de séjour et d'intégration des</w:t>
      </w:r>
    </w:p>
    <w:p>
      <w:r>
        <w:t>- 6/13 - P/6214/2021 étrangers, est un bien juridique collectif et important. Le préjudice causé à la collectivité par de tels délits l'est également en raison de la mobilisation des nombreux acteurs appelés à les réprimer qu'ils impliquent. Par ailleurs, l'appelant a détenu et aliéné des stupéfiants, contribuant de la sorte au fléau pour la santé publique que représente le trafic de ces substances, bien que les quantités en cause soient relativement faibles. C'est à cette fin, sa présence à Genève ne trouvant aucune autre explication, qu'il a pénétré et séjourné illégalement en Suisse, qui plus est en violation de l'interdiction de se rendre sur le territoire du canton de Genève, montrant ainsi son mépris de la législation et des décisions dont il est l'objet. Son mobile était nécessairement celui de l'appât du gain. Sa collaboration a été médiocre en cours d'instruction, au regard de ses multiples variations et dénégations malgré les éléments du dossier. En appel, il ne conteste plus les faits, ce qui constitue un élément favorable et dénote un début de prise de conscience. La situation personnelle de l'appelant ne saurait justifier ses actes. Ses diverses interpellations dans le cadre de la présente font immédiatement suite à sa condamnation pour séjour illégal le 29 décembre 2020, ce qui démontre encore le peu de poids qu'il porte aux sanctions dont il fait l'objet. Si l'appelant bénéficie désormais d'un titre de séjour portugais, il n'a pas démontré qu'il travaillait effectivement et percevait des revenus de son activité de chauffeur F______ en France, ce qui aurait permis de retenir qu'il s'est en effet éloigné de la délinquance et qu'il serait en mesure de s'acquitter d'une peine pécuniaire. Compte tenu de l'ensemble de ces éléments, seule une peine privative de liberté entre en considération pour les infractions à la LEI et à la LStup. Il y a partant concours. Les infractions aux art. 119 al. 1 LEI et 19 al. 1 LStup étant passibles de la même sanction, il sera retenu que celle abstraitement la plus grave correspond au trafic de stupéfiants, et devrait être sanctionnée d'une peine de trois mois. L'infraction à l'art. 119 al. 1 LEI mériterait une peine équivalente, ramenée à deux mois, au bénéfice du principe d'aggravation. La peine devrait encore être aggravée pour l'entrée et le séjour illégal de deux mois (peine hypothétique de trois mois au vu de la récidive). Le verdict de première instance s'avère ainsi favorable au prévenu et doit être confirmé. Le sursis, acquis à l'appelant, et sa durée de trois ans, adéquate, seront confirmés, de même que la non-révocation du sursis antérieur.</w:t>
      </w:r>
    </w:p>
    <w:p>
      <w:r>
        <w:rPr>
          <w:b/>
        </w:rPr>
        <w:t>E. 3</w:t>
      </w:r>
    </w:p>
    <w:p>
      <w:r>
        <w:t>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Par suite, tant l'application de l'art. 66a al. 2 CP que de l'art. 66abis CP imposent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A cette fin, il considérera pour commencer la quotité de la peine : plus lourde sera</w:t>
      </w:r>
    </w:p>
    <w:p>
      <w:r>
        <w:t>- 8/13 - P/6214/2021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3.1.3. L'inscription de l'expulsion dans le SIS est régie par le chapitre IV du règlement SIS II (règlement CE n° 1987/2006) relatif aux signalements de ressortissants de pays tiers aux fins de non-admission ou d’interdiction de séjour. L'art. 21 de ce règlement prescrit qu'avant d'introduire un signalement, l'Etat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Etat membre constitue une menace pour l’ordre public ou la sécurité publique ou pour la sécurité nationale. L'art. 24 précise que tel peut être notamment le cas lorsque l'intéressé a été condamné dans un Etat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Etat membre (let. b).</w:t>
      </w:r>
    </w:p>
    <w:p>
      <w:r>
        <w:t>- 9/13 - P/6214/2021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IV 340 consid. 4.6 et 4.8).</w:t>
      </w:r>
    </w:p>
    <w:p>
      <w:r>
        <w:rPr>
          <w:b/>
        </w:rPr>
        <w:t>E. 3.2</w:t>
      </w:r>
    </w:p>
    <w:p>
      <w:r>
        <w:t>En l'espèce, il n'y a pas motif de renoncer à prononcer l'expulsion du prévenu. Celui-ci n'a aucun lien avec la Suisse ; il n'a traversé la frontière que pour s'adonner au trafic de stupéfiants et a lui-même expliqué souhaiter rester en France et non en Suisse. Il n'a aucun intérêt à demeurer dans notre pays. Au vu du fléau pour la santé publique que représente le trafic de drogue dans l'absolu, c'est par ailleurs en vain que l'appelant argue ne s'être rendu coupable que d'infractions de peu de gravité et ne pas représenter concrètement une menace. Le jugement dont est appel doit donc être confirmé également en ce qui concerne la mesure d'expulsion, dont la proportionnalité de la durée paraît adéquate, ainsi que la renonciation à l'inscription dans le SIS, laquelle est acquise à l'appelant.</w:t>
      </w:r>
    </w:p>
    <w:p>
      <w:r>
        <w:rPr>
          <w:b/>
        </w:rPr>
        <w:t>E. 4</w:t>
      </w:r>
    </w:p>
    <w:p>
      <w:r>
        <w:t>L'appelant, qui succombe, supportera les frais de la procédure envers l'Etat, comprenant un émolument d'arrêt de CHF 1'500.- (art. 428 al. 1 CPP et art. 14 al. 1 let e du Règlement fixant le tarif des frais en matière pénale [RTFMP]).</w:t>
      </w:r>
    </w:p>
    <w:p>
      <w:r>
        <w:rPr>
          <w:b/>
        </w:rPr>
        <w:t>E. 5</w:t>
      </w:r>
    </w:p>
    <w:p>
      <w:r>
        <w:t>Considéré globalement, l'état de frais produit par la défenseure d'office de l'appelant satisfait les exigences légales et jurisprudentielles régissant l'assistance judiciaire gratuite en matière pénale. Sa rémunération sera partant arrêtée à CHF 258.50 pour une heure d'activité au tarif de CHF 200.-/heure plus la majoration forfaitaire de 20 % (CHF 40.-) et l'équivalent de la TVA au taux de 7.7% en CHF 18.50. * * * * *</w:t>
      </w:r>
    </w:p>
    <w:p>
      <w:r>
        <w:t>- 10/13 - P/6214/2021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