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AARP/216/2016 vom 27. Mai 2016</w:t>
      </w:r>
    </w:p>
    <w:p>
      <w:r>
        <w:t>GE Cour de justice, 2016-05-27, FR</w:t>
      </w:r>
    </w:p>
    <w:p>
      <w:r>
        <w:rPr>
          <w:b/>
        </w:rPr>
        <w:t xml:space="preserve">Quelle: </w:t>
      </w:r>
      <w:r>
        <w:t>https://mcp.opencaselaw.ch/entscheid/ge_gerichte_AARP_216_2016</w:t>
      </w:r>
    </w:p>
    <w:p>
      <w:r>
        <w:t>FR: GE_GERICHTE AARP/216/2016 du 27 mai 2016</w:t>
      </w:r>
    </w:p>
    <w:p>
      <w:r>
        <w:t>IT: GE_GERICHTE AARP/216/2016 del 27 maggio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w:t>
      </w:r>
    </w:p>
    <w:p>
      <w:r>
        <w:t>- 5/9 - P/9883/2015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3.1</w:t>
      </w:r>
    </w:p>
    <w:p>
      <w:r>
        <w:t>A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Par arrêté fédéral du 18 juin 2010 (RO 2010 5925), la Suisse a repris la Directive sur le retour. Pour le Tribunal fédéral, il convient d'appliquer l'art. 115 LEtr en considération de la jurisprudence de la Cour de justice de l'Union européenne (ci- 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w:t>
      </w:r>
    </w:p>
    <w:p>
      <w:r>
        <w:t>- 6/9 - P/9883/2015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w:t>
      </w:r>
    </w:p>
    <w:p>
      <w:r>
        <w:t>En revanche, on ne saurait considérer que la procédure administrative a été menée jusqu'à son terme sans succès si les autorités administratives n'ont pas pris les mesures de contrainte prévues par la LEtr (notamment les art. 73 à 78 LEtr) après qu'elles ont essayé sans succès d'établir l'identité de la personne visée par une décision de renvoi (arrêt du Tribunal fédéral 6B_1172/2014 du 23 novembre 2015, consid. 1.3).</w:t>
      </w:r>
    </w:p>
    <w:p>
      <w:r>
        <w:rPr>
          <w:b/>
        </w:rPr>
        <w:t>E. 3.2</w:t>
      </w:r>
    </w:p>
    <w:p>
      <w:r>
        <w:t>En l'espèce, l'appelant admet avoir séjourné en Suisse durant la période pénale, soit du 26 octobre 2012 au 21 mai 2015, sans être au bénéfice des autorisations nécessaires et en étant démuni de papiers d'identité. Il faisait de surcroît l'objet d'une décision de renvoi exécutoire.</w:t>
      </w:r>
    </w:p>
    <w:p>
      <w:r>
        <w:t>Les démarches en vue de son retour en Mauritanie ont été abandonnées à compter du</w:t>
      </w:r>
    </w:p>
    <w:p>
      <w:r>
        <w:rPr>
          <w:b/>
        </w:rPr>
        <w:t>E. 5</w:t>
      </w:r>
    </w:p>
    <w:p>
      <w:r>
        <w:t>L'appelant obtenant gain de cause, les frais de la procédure seront laissés à la charge de l'État (art. 428 CPP).</w:t>
      </w:r>
    </w:p>
    <w:p>
      <w:r>
        <w:t>En application de l'art. 428 al. 3 CPP, le jugement de première instance sera réformé dans le sens où les frais de la procédure, y compris l'émolument complémentaire, seront laissés à la charge de l'Etat.</w:t>
      </w:r>
    </w:p>
    <w:p>
      <w:r>
        <w:t>* * * * *</w:t>
      </w:r>
    </w:p>
    <w:p>
      <w:r>
        <w:t>- 9/9 - P/9883/2015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