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AARP/216/2015 vom 21. Januar 2015</w:t>
      </w:r>
    </w:p>
    <w:p>
      <w:r>
        <w:t>GE Cour de justice, 2015-01-21, FR</w:t>
      </w:r>
    </w:p>
    <w:p>
      <w:r>
        <w:rPr>
          <w:b/>
        </w:rPr>
        <w:t xml:space="preserve">Quelle: </w:t>
      </w:r>
      <w:r>
        <w:t>https://mcp.opencaselaw.ch/entscheid/ge_gerichte_AARP_216_2015</w:t>
      </w:r>
    </w:p>
    <w:p>
      <w:r>
        <w:t>FR: GE_GERICHTE AARP/216/2015 du 21 janvier 2015</w:t>
      </w:r>
    </w:p>
    <w:p>
      <w:r>
        <w:t>IT: GE_GERICHTE AARP/216/2015 del 21 gennaio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120 IV 348 consid. 2b p. 353).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de la Constitution fédérale de la Confédération suisse du 18 avril 1999 (Cst. ; RS 101; droit d'être entendu), de l'art. 32 al. 2 Cst. (droit d'être informé, dans les plus brefs délais et de manière détaillée, des accusations portées contre soi) et de l'art. 6 ch. 3 let. a de la Convention de sauvegarde des droits de l’homme et des libertés fondamentales du 4 novembre 1950 (CEDH ; RS 0.101; droit d'être informé de la nature et de la cause de l'accusation).</w:t>
      </w:r>
    </w:p>
    <w:p>
      <w:r>
        <w:t>- 20/31 - P/19172/2013</w:t>
      </w:r>
    </w:p>
    <w:p>
      <w:r>
        <w:t>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w:t>
      </w:r>
    </w:p>
    <w:p>
      <w:r>
        <w:rPr>
          <w:b/>
        </w:rPr>
        <w:t>E. 2.2</w:t>
      </w:r>
    </w:p>
    <w:p>
      <w:r>
        <w:t>En l'espèce, des faits tels que décrits dans l'acte d'accusation, on comprend qu'il est reproché à A______ d'avoir entrainé C______, avec laquelle il voulait avoir une relation sexuelle, derrière une camionnette, de s'être montré agressif verbalement, de l'avoir secouée puis penchée en avant en la tenant par la nuque, de lui avoir ensuite retiré son pantalon, baissé le sien et posé le préservatif que C______ lui avait remis sur son pénis en érection, pour ensuite saisir la jeune femme par la taille, la tourner et la pénétrer par derrière, alors qu'elle pleurait et lui demandait d'arrêter. Ces faits correspondent aux éléments constitutifs du viol, dès lors qu'ils décrivent le comportement d'un homme qui contraint une femme à subir l'acte sexuel, en la mettant hors d'état de résister. On comprend en particulier qu'il est reproché à A______ d'avoir, par son comportement agressif et violent, tant verbal (il crie) que physique (il la secoue, la penche, la tient par la nuque, lu retire son pantalon, la saisit par la taille, la tourne), brisé la résistance de la victime afin de lui faire subir l'acte sexuel. Cette description englobe tous les éléments constitutifs de l'infraction de viol et est suffisamment précise pour que l'appelant ait pu exercer efficacement ses droits à la défense.</w:t>
      </w:r>
    </w:p>
    <w:p>
      <w:r>
        <w:t>Il en va de même pour l'infraction à la LStup, l'appelant étant mis en cause pour avoir emmené F______, qui voulait acheter de la cocaïne, dans un lieu déterminé où il y avait des dealers et directement vendu, ou permis à F______ d'acheter auprès de ces dealers, 3 à 4 g de cette substance. Le comportement décrit réalise l'infraction à l'art. 19 al. 1 let. c LStup, qui punit celui qui ans droit, aliène ou prescrit des stupéfiants, en procure de toute autre manière à un tiers ou en met dans le commerce, soit en particulier celui qui vend de la drogue ainsi que celui qui intervient en tant qu'intermédiaire dans une transaction, en organisant un rendez-vous, en fournissant un nom, une adresse ou un numéro de téléphone (cf. B. CORBOZ, Les infractions en droit suisse, volume II, 3e édition, Berne 2010, n. 35 ad art. 19 LStup). Sur ce point également, l'appelant a pu exercer de manière adéquate son droit à la défense.</w:t>
      </w:r>
    </w:p>
    <w:p>
      <w:r>
        <w:t>Les griefs tirés d'une violation de la maxime accusatoire sont ainsi rejetés.</w:t>
      </w:r>
    </w:p>
    <w:p>
      <w:r>
        <w:rPr>
          <w:b/>
        </w:rPr>
        <w:t>E. 3.1</w:t>
      </w:r>
    </w:p>
    <w:p>
      <w:r>
        <w:t>La présomption d’innocence, dont le principe in dubio pro reo est le corollaire, est garantie expressément par les art. 6 par. 2 CEDH et 32 al. 1 Cst.), ainsi que par l’art. 10 al. 3 CPP, selon lequel le tribunal doit se fonder sur l’état de fait le plus</w:t>
      </w:r>
    </w:p>
    <w:p>
      <w:r>
        <w:t>- 21/31 - P/19172/2013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t>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w:t>
      </w:r>
    </w:p>
    <w:p>
      <w:r>
        <w:t>Il convient, par ailleurs, de rappeler, que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w:t>
      </w:r>
    </w:p>
    <w:p>
      <w:r>
        <w:rPr>
          <w:b/>
        </w:rPr>
        <w:t>E. 3.2</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Par acte sexuel, il faut entendre l’introduction, même partielle et momentanée, du pénis dans le vagin, l’éjaculation n’étant pas nécessaire (ATF 123 IV 49 consid. 2 p. 52). Le comportement réprimé consiste dans le fait, pour l’homme, de contraindre</w:t>
      </w:r>
    </w:p>
    <w:p>
      <w:r>
        <w:t>- 22/31 - P/19172/2013 volontairement la femme à subir l’acte sexuel proprement dit (B. CORBOZ, Les infractions en droit suisse, volume I, 3e édition, Berne 2010, n. 7 ad art. 190 CP).</w:t>
      </w:r>
    </w:p>
    <w:p>
      <w:r>
        <w:t>Pour que la contrainte soit réalisée, il faut que l'auteur ait créé une situation de contrainte dans un contexte donné. Il suffit que la victime ait, dans un premier temps, opposé de la résistance dans la mesure où elle pouvait le faire (ATF 131 IV 107 cons. 2.2). Pour déterminer si l'on se trouve en présence de contrainte sexuelle, il faut procéder à une appréciation globale des circonstances concrètes déterminantes. Une appréciation individualisée est nécessaire, laquelle doit reposer sur des éléments suffisamment typiques (ATF 6B_252/2008 cons. 3.2 ; 6B_891/2009 cons. 3.1 ; 6B_1088/2009 cons. 3.1). Il suffit notamment que, selon les circonstances concrètes, la soumission de la victime soit compréhensible (ATF 133 IV 49 cons. 6 ; 131 IV 167 cons. 3).</w:t>
      </w:r>
    </w:p>
    <w:p>
      <w:r>
        <w:t>Il y a toujours viol lorsqu'une femme en état de résister a été contrainte à l'acte sexuel et il importe peu de savoir si sa résistance a été brisée ou si elle a renoncé d'emblée à toute résistance en raison de la menace, de la violence exercée par son auteur ou encore parce qu'i lui apparaît que la situation est sans espoir, même si elle demande à son agresseur de mettre un préservatif (C. FAVRE / M. PELLET / P. STOUDMANN, Code pénal annoté, 3ème éd., Lausanne 2011, n° 1.4 ad art. 190 CP).</w:t>
      </w:r>
    </w:p>
    <w:p>
      <w:r>
        <w:rPr>
          <w:b/>
        </w:rPr>
        <w:t>E. 3.3</w:t>
      </w:r>
    </w:p>
    <w:p>
      <w:r>
        <w:t>En l'espèce, il est constant que les parties se sont rencontrées le 15 décembre 2013 vers 5h du matin à la sortie de la discothèque T______ à H______. Rejoints par les personnes avec lesquelles ils avaient passé la soirée, ils ont quitté la discothèque à bord de la voiture de F______, la plaignante étant assise derrière entre l'appelant et le témoin I______, tandis que sa collègue J______ était assise sur le siège passager avant. Il ressort également des divers témoignages que c'est à la demande de la plaignante ou de sa collègue J______ que le conducteur de la voiture s'est arrêté sur le parking de L______, sur lequel plusieurs véhicules utilitaires étaient parqués, à proximité du lieu d'habitation et de travail des deux jeunes femmes, lesquelles voulaient rentrer chez elles.</w:t>
      </w:r>
    </w:p>
    <w:p>
      <w:r>
        <w:t>La partie plaignante soutient qu'une fois descendue de la voiture, l'appelant a insisté pour qu'elle le suive derrière une camionnette, prétextant vouloir lui parler, puis s'est montré insistant et agressif, a serré son bras, l'a secouée et essayé de la pencher en avant, en la tenant par la nuque. Il a fini par réussir à lui tirer le pantalon vers le bas, a hurlé et, lorsqu'elle a compris qu'il allait la violer, elle a pris un préservatif de son sac et le lui a mis (ou remis pour qu'il le mette), afin d'éviter de contracter une maladie. L'appelant l'a ensuite retournée, penchée en avant et violée, en la tenant par la taille, la plaignante n'ayant pas osé bouger. A l'inverse, l'appelant conteste avoir pénétré la plaignante, qu'il avait certes embrassée et caressée, dans l'idée de se rendre ensuite chez elle, mais qu'il avait ensuite repoussée ne voulant pas avoir un rapport sexuel à l'extérieur, nonobstant l’insistance de la jeune femme.</w:t>
      </w:r>
    </w:p>
    <w:p>
      <w:r>
        <w:t>- 23/31 - P/19172/2013</w:t>
      </w:r>
    </w:p>
    <w:p>
      <w:r>
        <w:t>Confrontée à des versions contradictoires, la Cour de céans considère, à l'instar des premiers juges, que l'appelant a bien usé de contrainte pour amener la partie plaignante, sans son consentement, à subir l'acte sexuel. Elle forge sa conviction sur la base des éléments suivants.</w:t>
      </w:r>
    </w:p>
    <w:p>
      <w:r>
        <w:t>La partie plaignante a déclaré de manière constante qu'elle avait été contrainte sexuellement par l'appelant, sur le parking de L______. Elle a d'ailleurs requis l'aide de la police, sa collègue J______ s'étant finalement résolue à arrêter une automobiliste, évoquant une agression sexuelle, ce que le témoin Q______ a relayé lors de son appel à la CECAL. Cette dernière a en outre affirmé avoir entendu des cris de femme, avoir vu la plaignante dénudée sortir d'un parking, repoussée ensuite par A______, ce qui concorde avec les déclarations du brigadier W______, qui a vu l'intimée plus ou moins dévêtue et en pleurs et l'appelant affairé avec son pantalon. S'agissant de l'état de la jeune femme, les inspecteurs X______ et Y______, ainsi que le brigadier W______, ont tous constaté que la plaignante était choquée.</w:t>
      </w:r>
    </w:p>
    <w:p>
      <w:r>
        <w:t>Le témoin J______ a confirmé que l'appelant s'était montré violent à l'égard de l'intimée, qu'il ne voulait pas lâcher, et que cette dernière pleurait beaucoup et était paniquée. Quant à F______, il a aussi vu la plaignante en état de choc et traumatisée, tandis que le témoin I______, nonobstant son souvenir assez flou de la soirée, se rappelle d'une fille qui criait d'arrêter.</w:t>
      </w:r>
    </w:p>
    <w:p>
      <w:r>
        <w:t>L'ensemble de ces éléments corrobore l'agression sexuelle dénoncée par la plaignante plutôt que les ébats consentis que l'appelant aurait interrompus. La présence de l'ADN de l'appelant et de la plaignante sur un emballage de préservatif est un élément à charge supplémentaire. L'appelant, qui affirme qu'il n'a jamais été question de préservatif, soutient que son ADN pourrait avoir été transféré par la plaignante. Or, cet argument n'est pas déterminant et il importe en définitive peu de savoir si l'appelant a touché cet emballage ou si c'est la plaignante qui a transféré l'ADN de son agresseur. La présence de l'ADN des deux parties sur le même emballage retrouvé par terre sur les lieux est un élément corroboratif supplémentaire s'agissant de la commission d'un acte sexuel, de même que la présence de l'ADN de la plaignante sur le sexe de l'appelant, et, surtout, avalise le récit de celle-là. Enfin, l'erreur contenue dans le rapport de la BPTS du 1er février 2014 a été expliquée et corrigée dans un rapport complémentaire, étant encore observé que les analyses ADN ont été aussi effectuées par le CURML, lequel est parvenu aux mêmes résultats.</w:t>
      </w:r>
    </w:p>
    <w:p>
      <w:r>
        <w:t>Il sera encore relevé que la plaignante s'est soumise le même jour à un examen médical et que les ecchymoses et dermabrasions constatées sur son corps concordent aussi avec l'agression subie, l'absence de lésions à l'examen gynécologique n'étant ni à charge ni à décharge selon les légistes. Le fait que le médecin-légiste ait mentionné que la plaignante lui avait rapporté une agression sexuelle qui était intervenue</w:t>
      </w:r>
    </w:p>
    <w:p>
      <w:r>
        <w:t>- 24/31 - P/19172/2013 lorsqu'elle était allongée par terre sur le dos s'explique par l'absence d'interprète lors de l'examen médical. La plaignante a déclaré dès sa première audition par la police et tout au long de la procédure qu'elle avait été violée debout et par derrière et n'avait aucune raison de fournir un autre récit au médecin-légiste.</w:t>
      </w:r>
    </w:p>
    <w:p>
      <w:r>
        <w:t>Les déclarations de l'appelant sont par ailleurs peu crédibles et contiennent des mensonges, parmi lesquels le fait que la plaignante avait insisté pour "baiser" avec lui sur le parking, alors que les réticences des deux jeunes femmes apparaissent déjà lors du démarrage de la voiture à la sortie de la discothèque et que l'appelant a lui- même concédé qu'il avait dû rassurer l'intimée pour qu'elle le suive derrière les camionnettes. Les témoins J______ et F______ concordent d'ailleurs pour dire que l'appelant se montrait insistant et que la plaignante était apeurée. Il en va de même du fait que l'appelant conteste formellement l'utilisation d'un préservatif, nonobstant l'emballage retrouvé sur les lieux et les résultats des analyses ADN. Le vol d'argent, qui serait pour l'appelant à l'origine de sa réaction agressive, n'explique pas pour quelle raison la plaignante pleurait déjà bien avant l'épisode de l'argent tombé par terre. On relèvera d'ailleurs que le témoin F______, qui avait pourtant intérêt à minimiser la situation du fait qu'il était aussi suspecté d'avoir participé au viol, n'a pas évoqué immédiatement et spontanément l'épisode de l'argent tombé par terre mais uniquement lors de son troisième interrogatoire et sur question de la police française, cet incident étant clairement relégué en second plan. A l'inverse, même si ce témoin affirme n'avoir pas vu de rapport sexuel, il a tout de suite admis qu'il y avait eu un problème de consentement et qu'il était question de contrainte. Quant au témoin J______, elle a affirmé ne pas avoir entendu parler d'un vol d'argent sur le parking. Enfin, il est avéré que F______ a dit au témoin I______ que "ça pue" et que la police allait arriver, montrant ainsi son inquiétude vu la gravité de la situation. On relèvera aussi que l'appelant n'a pas hésité à mentir sur des éléments périphériques, sa consommation de cocaïne en particulier, révélée par les examens, ce qui discrédite encore ses déclarations.</w:t>
      </w:r>
    </w:p>
    <w:p>
      <w:r>
        <w:t>Le fait que les témoins F______ et J______ n'aient pas assisté à l'acte sexuel proprement dit ne s'inscrit pas à faux avec le viol décrit par la plaignante. Il est en effet constant que les parties étaient à l'écart des autres, derrière les camionnettes, pendant une vingtaine de minutes, soit le temps qui s'est écoulé entre le moment où F______ a parqué sa voiture et est reparti pour la première fois, durant lesquels les autres protagonistes n'ont fait que quelques allers et retours. En outre, tant Q______ que le témoin J______ ont confirmé avoir entendu une femme hurler, le viol étant intervenu lorsque A______ était seul avec la plaignante. Force est d'ailleurs de constater qu'aucun des témoins n'a dit avoir vu A______ avec son pantalon baissé, alors que les parties s'accordent pour dire que tel était bien le cas. Enfin, le fait que la procédure contre I______ a été classée n'est pas révélateur du fait que les déclarations de la plaignante ne seraient pas crédibles, mais résulte de l'appréciation faite par le Ministère public du rôle de l'intéressé lors de l'agression.</w:t>
      </w:r>
    </w:p>
    <w:p>
      <w:r>
        <w:t>- 25/31 - P/19172/2013</w:t>
      </w:r>
    </w:p>
    <w:p>
      <w:r>
        <w:t>La plaignante a certes été parfois peu précise et son récit contient quelques variations, notamment au sujet de son sac à main (qu'elle avait avec elle ou pas) ou sur l'utilisation du préservatif (mis par elle ou par lui). Ses explications sont toutefois constantes sur les faits essentiels et ne sont contredites par aucun élément objectif du dossier, contrairement à ce qui s'avère être le cas pour celles de l'appelant.</w:t>
      </w:r>
    </w:p>
    <w:p>
      <w:r>
        <w:t>Au vu de ce qui précède, la CPAR dispose d'un faisceau d'indices concordants suffisant pour fonder un verdict de culpabilité. Il sera ainsi retenu que le prévenu a contraint la partie plaignante à subir l'acte sexuel. Il a agi intentionnellement. La contrainte s'est exercée sous la forme de violence physique (serré le bras, secouée, penchée en avant, baissé le pantalon et la culotte) et verbale (se met à hurler), soit des moyens efficaces et propres à faire céder la victime, laquelle a fini par renoncer à résister, de manière compréhensible, sous l'effet de la peur, la situation paraissant sans espoir. L'absence de consentement de la victime ressort encore du fait qu'elle était réticente à suivre l'appelant derrière les camionnettes et qu'elle a pleuré tout au long, ce que l’appelant a admis, tout en affirmant, pour les besoins de la cause, que ces pleurs étaient feints. L'appelant ne saurait du reste soutenir qu'il aurait compris que l'intimée était consentante lorsqu'elle a sorti le préservatif, dans la mesure où il conteste qu’il en a été question, de même que la pénétration. En tout état de cause, les cris de la plaignante, entendus par le témoin Q______, totalement étrangère aux faits de la cause, ainsi que les interventions de F______ et J______ pour qu’il lâche la jeune femme, sont autant d'éléments ne lui permettant pas d'envisager un quelconque consentement.</w:t>
      </w:r>
    </w:p>
    <w:p>
      <w:r>
        <w:t>Pour ces motifs, la Cour retient, à l’instar des premiers juges, que l’appelant s'est rendu coupable de viol (art. 190 CP).</w:t>
      </w:r>
    </w:p>
    <w:p>
      <w:r>
        <w:rPr>
          <w:b/>
        </w:rPr>
        <w:t>E. 4.1</w:t>
      </w:r>
    </w:p>
    <w:p>
      <w:r>
        <w:t>Aux termes de l'art. 19 al. 1 let. c et d LStup, est puni d'une peine privative de liberté de trois ans au plus ou d'une peine pécuniaire celui qui, sans droit, aliène ou prescrit des stupéfiants, en procure de toute autre manière à un tiers ou en met dans le commerce, voire en acquiert ou s'en procure de toute autre manière.</w:t>
      </w:r>
    </w:p>
    <w:p>
      <w:r>
        <w:t>Par procurer, l'on entend toute activité d'intermédiaire consistant à mettre en relation l'un avec l'autre un aliénateur et un acquéreur potentiels de stupéfiants, soit à négocier, au moins en partie, pour l'un d'eux. Il en va ainsi de celui qui organise un rendez-vous entre les futurs cocontractants, qui fournit à l'un d'eux le nom, l'adresse ou le numéro de téléphone d'une personne intéressée, ou qui négocie la remise de stupéfiants par l'une des parties (B. CORBOZ, op. cit., vol. II, n. 35 ad art. 19 LStup).</w:t>
      </w:r>
    </w:p>
    <w:p>
      <w:r>
        <w:rPr>
          <w:b/>
        </w:rPr>
        <w:t>E. 4.2</w:t>
      </w:r>
    </w:p>
    <w:p>
      <w:r>
        <w:t>En l'espèce, la CPAR tient pour établi que F______ et I______ se sont rendus aux Pâquis pour acheter de la cocaïne. Selon leurs déclarations concordantes et crédibles, F______ et I______ n'ayant aucun intérêt à mentir dès lors que ces</w:t>
      </w:r>
    </w:p>
    <w:p>
      <w:r>
        <w:t>- 26/31 - P/19172/2013 explications étaient aussi à charge pour eux, l'appelant est monté dans la voiture et les a dirigés vers AA______ pour en trouver. Sur place, grâce aux indications de l'appelant, F______ a acquis 3 à 4 g de cocaïne. Dans la mesure où les déclarations des témoins divergent sur la question de savoir si l'appelant s'est contenté d'indiquer à F______ le lieu et les personnes susceptibles de fournir la cocaïne ou s'il a participé à la transaction, on retiendra la version la plus favorable, soit celle qu'il s'est limité à conduire les intéressés sur place et à leur montrer les dealers. Ce comportement est punissable et tombe sous le coup de l'art. 19 al. 1 let. c LStup.</w:t>
      </w:r>
    </w:p>
    <w:p>
      <w:r>
        <w:rPr>
          <w:b/>
        </w:rPr>
        <w:t>E. 4.3</w:t>
      </w:r>
    </w:p>
    <w:p>
      <w:r>
        <w:t>Le verdict de culpabilité sera ainsi entièrement confirmé, étant relevé que l'infraction à la LEtr n'est pas contestée en appel.</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5.1.2. D'après l'art. 49 al. 1 CP, si, en raison d'un ou de plusieurs actes, l'auteur remplit les conditions de plusieurs peines de même genre, le juge le condamne à la peine de l'infraction la plus grave et l'augmente dans une juste proportion.</w:t>
      </w:r>
    </w:p>
    <w:p>
      <w:r>
        <w:rPr>
          <w:b/>
        </w:rPr>
        <w:t>E. 5.2</w:t>
      </w:r>
    </w:p>
    <w:p>
      <w:r>
        <w:t>La faute de l’appelant est lourde. Il s'en est pris à l'intégrité sexuelle de sa victime, passant outre la libre détermination de celle-ci. Ses mobiles relèvent de pulsions égoïstes, tendant à l'excitation et à la jouissance sexuelle. Il ne peut se prévaloir d'aucune circonstance atténuante et sa responsabilité est pleine et entière. Sa collaboration a été mauvaise. Il s'obstine à nier l'ensemble des charges portées contre lui, dont la consommation de stupéfiants, ce qui montre sa prise de conscience est nulle. Il y a concours d'infractions, circonstance aggravante. Il a par ailleurs des antécédents, mais en matière d'infractions à la législation sur les étrangers uniquement.</w:t>
      </w:r>
    </w:p>
    <w:p>
      <w:r>
        <w:t>Sa situation personnelle, bien que précaire, n'explique en rien la commission d'actes aussi graves.</w:t>
      </w:r>
    </w:p>
    <w:p>
      <w:r>
        <w:t>Les infractions à la LStup et à la LEtr entrent en concours avec le viol, lequel est à lui seul passible d’une peine privative de liberté pouvant aller jusqu’à 10 ans.</w:t>
      </w:r>
    </w:p>
    <w:p>
      <w:r>
        <w:t>La gravité de la faute du prévenu empêche le prononcé d'une peine compatible avec le sursis, même partiel.</w:t>
      </w:r>
    </w:p>
    <w:p>
      <w:r>
        <w:t>- 27/31 - P/19172/2013</w:t>
      </w:r>
    </w:p>
    <w:p>
      <w:r>
        <w:t>Compte tenu de ce qui précède, la peine privative de trois ans et six mois prononcée en première instance tient compte de l'ensemble de ces éléments et sera confirmée.</w:t>
      </w:r>
    </w:p>
    <w:p>
      <w:r>
        <w:rPr>
          <w:b/>
        </w:rPr>
        <w:t>E. 6</w:t>
      </w:r>
    </w:p>
    <w:p>
      <w:r>
        <w:t>Vu l'issue de la procédure d'appel, les prétentions en indemnisation formulées par l’appelant sont infondées et doivent être rejetées (art. 429 CPP).</w:t>
      </w:r>
    </w:p>
    <w:p>
      <w:r>
        <w:t>Quant au dédommagement de la victime, la CPAR se réfère intégralement au jugement entrepris (cf. art. 82 al. 4 CPP), étant relevé que l’appelant n’a pas remis en cause la quotité des montants alloués par les premiers juges.</w:t>
      </w:r>
    </w:p>
    <w:p>
      <w:r>
        <w:t>L'appelant, qui succombe, supportera en outre les frais de la procédure envers l'État (art. 428 CPP).</w:t>
      </w:r>
    </w:p>
    <w:p>
      <w:r>
        <w:rPr>
          <w:b/>
        </w:rPr>
        <w:t>E. 7</w:t>
      </w:r>
    </w:p>
    <w:p>
      <w:r>
        <w:t>Le maintien en détention pour motifs de sûreté de A______ a été décidé par ordonnance séparée du 21 janvier 2015.</w:t>
      </w:r>
    </w:p>
    <w:p>
      <w:r>
        <w:rPr>
          <w:b/>
        </w:rPr>
        <w:t>E. 8.1</w:t>
      </w:r>
    </w:p>
    <w:p>
      <w:r>
        <w:t>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w:t>
      </w:r>
    </w:p>
    <w:p>
      <w:r>
        <w:t>Au regard de ce qui précède, la CPAR n'est compétente, au sens de l'art. 135 al. 2 CPP, que pour statuer sur l'activité postérieure à sa saisine, le 2 juillet 2014.</w:t>
      </w:r>
    </w:p>
    <w:p>
      <w:r>
        <w:t>Les mêmes considérations valent pour l’indemnisation du conseil juridique gratuit de la partie plaignante (art. 138 a. 1 CPP).</w:t>
      </w:r>
    </w:p>
    <w:p>
      <w:r>
        <w:rPr>
          <w:b/>
        </w:rPr>
        <w:t>E. 8.2</w:t>
      </w:r>
    </w:p>
    <w:p>
      <w:r>
        <w:t>L'indemnité est calculée selon le tarif horaire de CHF 200.- pour un chef d'Etude et de CHF 125.- pour un avocat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t>- 28/31 - P/19172/2013</w:t>
      </w:r>
    </w:p>
    <w:p>
      <w:r>
        <w:t>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La CPAR a décidé de revenir sur la pratique consistant à allouer aux avocats des victimes une indemnisation forfaitaire de 20% pour les "courriers et téléphones", indépendamment du nombre d'heures effectivement consacré au dossier, estimant qu'il n'y a pas de raison objective de traiter différemment les conseils juridiques gratuits des victimes des défenseurs d'office des prévenus.</w:t>
      </w:r>
    </w:p>
    <w:p>
      <w:r>
        <w:t>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t>8.3.1. En l'espèce, l'état de frais de Me B______ est composé de 24 heures d'activité de chef d'Etude soit 5h pour les visites à Champ-Dollon, 19h pour le poste procédure et 4h pour l'audience d'appel. L'activité exercée par le conseil de l'appelant est en adéquation avec la nature, l'importance et la difficulté de la cause. Seules 2h ont été retranchées du poste procédure, le temps passé à la préparation de l'audience d'appel étant ramené à 12h15, au lieu de 13h15, le dossier d'appel étant globalement le même que celui de première instance, et celui consacré à la prise de connaissance du jugement et à la rédaction de la déclaration d'appel a été ramené à 0h45 (sur 1h45), celle-ci n’ayant pas à être motivée hormis pour les réquisitions de preuves et étant, sous cette réserve, incluse dans le forfait courriers et téléphones.</w:t>
      </w:r>
    </w:p>
    <w:p>
      <w:r>
        <w:t>Par conséquent, l'état de frais du conseil de l'appelant sera admis à concurrence de 22 heures d'activité de chef d'Etude, ce qui correspond à une indemnité de CHF 4'400.-. Il convient d'ajouter à ce montant l'indemnisation forfaitaire de 10%, fixée en tenant compte de l’ensemble de l’activité déployée par le conseil durant l’instruction préliminaire et la procédure de première instance, qui dépasse 30 heures, soit CHF 440.-.</w:t>
      </w:r>
    </w:p>
    <w:p>
      <w:r>
        <w:t>8.3.2. L'état de frais de Me D______, conseil juridique gratuit de la plaignante, est composé de 12 heures et 15 minutes d'activité de chef d'Etude soit 6h45 pour le poste procédure, dont 6 heures de préparation d'audience, 1h30 pour l'entretien avec la</w:t>
      </w:r>
    </w:p>
    <w:p>
      <w:r>
        <w:t>- 29/31 - P/19172/2013 cliente et 4h pour l'audience d'appel. L'activité exercée par le conseil de la partie plaignante est en adéquation avec la nature, l'importance et la difficulté de la cause.</w:t>
      </w:r>
    </w:p>
    <w:p>
      <w:r>
        <w:t>Par conséquent, l'état de frais du conseil de l'intimée sera entièrement admis, ce qui correspond à une indemnité de CHF 2'450.-. Il convient d'ajouter à ce montant l'indemnisation forfaitaire de 10%, fixée en tenant compte de l’ensemble de l’activité déployée par le conseil durant l’instruction préliminaire et la procédure de première instance, qui dépasse 30 heures, soit CHF 245.-. * * * * *</w:t>
      </w:r>
    </w:p>
    <w:p>
      <w:r>
        <w:t>- 30/31 - P/19172/2013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