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AARP/214/2016 vom 15. Mai 2016</w:t>
      </w:r>
    </w:p>
    <w:p>
      <w:r>
        <w:t>GE Cour de justice, 2016-05-15, FR</w:t>
      </w:r>
    </w:p>
    <w:p>
      <w:r>
        <w:rPr>
          <w:b/>
        </w:rPr>
        <w:t xml:space="preserve">Quelle: </w:t>
      </w:r>
      <w:r>
        <w:t>https://mcp.opencaselaw.ch/entscheid/ge_gerichte_AARP_214_2016</w:t>
      </w:r>
    </w:p>
    <w:p>
      <w:r>
        <w:t>FR: GE_GERICHTE AARP/214/2016 du 15 mai 2016</w:t>
      </w:r>
    </w:p>
    <w:p>
      <w:r>
        <w:t>IT: GE_GERICHTE AARP/214/2016 del 15 maggio 2016</w:t>
      </w:r>
    </w:p>
    <w:p>
      <w:pPr>
        <w:pStyle w:val="Heading2"/>
      </w:pPr>
      <w:r>
        <w:t>Erwägungen</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w:t>
      </w:r>
    </w:p>
    <w:p>
      <w:r>
        <w:t>- 19/25 - P/2155/2015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ss ; arrêt du Tribunal fédéral 6B_660/2013 du 19 novembre 2013 consid. 2.2). 3.1.2. D'après la conception des nouvelles dispositions de la partie générale du code pénal, la peine pécuniaire constitue la sanction principale dans le domaine de la petite et moyenne criminalité (ATF 134 IV 97 consid. 4 p. 100 ss).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 fait que son insolvabilité apparaît prévisible ne constituent en revanche pas des critères pertinents pour choisir la nature de la sanction (ATF 134 IV 97 consid. 5.2.3 p. 104). 3.1.3. Conformément à l'art. 34 CP, la peine pécuniaire est fixée en jours-amende dont le tribunal fixe le nombre en fonction de la culpabilité de l'auteur (al. 1), en application de la règle générale de l'art. 47 CP. Le nombre des jours-amende exprime la mesure de la peine.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 DOLGE, Basler Kommentar, Strafrecht I, 2e éd., 2007, n. 40 ad art. 34 ; arrêt du Tribunal fédéral 6B_541/2007 du 13 mai 2008 consid. 6.3).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w:t>
      </w:r>
    </w:p>
    <w:p>
      <w:r>
        <w:t>- 20/25 - P/2155/2015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p.68 ; arrêt du Tribunal fédéral 6B_200/2009 du 27 août 2009 consid. 7.1.).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Le montant du jour-amende ne peut être inférieur à CHF 10.- (ATF 135 IV 180 consid. 1.4.2 p. 185) 3.1.4.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Pour déterminer si le tribunal doit prononcer une peine complémentaire, il convient de se référer à la date du jugement antérieur, indépendamment de la date d'un éventuel arrêt sur appel ultérieur (ATF 138 IV 113 consid. 3.4.1 et 3.4.2 ; ATF 129 IV 113 consid. 1.1 et 1.2 ; R. ROTH / L. MOREILLON (éds), Code pénal I : art. 1- 100 CP, Bâle 2009, n. 84 ad art. 49). L'auteur est donc "condamné", au sens de l'art. 49 al. 2 CP, dès l'instant du prononcé du jugement et non pas seulement au moment de son entrée en force ; il faut cependant que cette entrée en force intervienne par la suite (ATF 127 IV 106 consid. 2c p. 108ss).</w:t>
      </w:r>
    </w:p>
    <w:p>
      <w:r>
        <w:rPr>
          <w:b/>
        </w:rPr>
        <w:t>E. 3.2</w:t>
      </w:r>
    </w:p>
    <w:p>
      <w:r>
        <w:t>En l'espèce, la faute de l'intimé n'est pas anodine ; il a porté atteinte à la dignité humaine et à la paix publique, heurtant les principes essentiels d'une société fondée sur le respect de l'homme. Hormis un mépris des personnes de confession juive, on ne voit pas ce qui aurait pu animer la volonté de l'intimé. Sa situation personnelle est sans particularité et ne saurait donc expliquer ses actes.</w:t>
      </w:r>
    </w:p>
    <w:p>
      <w:r>
        <w:t>- 21/25 - P/2155/2015 Un antécédent, non spécifique, figure dans son casier judiciaire. La collaboration de l'intimé à la procédure a été mauvaise, il n'a cessé d'occulter le but recherché et de minimiser la portée de son geste, qu'il n'assume pas. Refusant de remettre son comportement en question, il n'a pas pris conscience de ses conséquences et n'a donc pas fait preuve d'amendement. Aucune circonstance atténuante au sens de l'art. 48 CP n'est réalisée ni au demeurant plaidée. Au vu des éléments qui précèdent, l'intimé sera condamné à une peine pécuniaire de 80 jours-amende, peine complémentaire à celle prononcée par le Tribunal de police de Côte à Nyon le 12 novembre 2014 dont il a été tenu compte. Eu égard à sa situation financière, soit notamment son jeune âge et au fait qu'il a récemment repris ses études sans exercer d'activité lucrative parallèle, la quotité du jour-amende sera arrêtée au minimum jurisprudentiel de CHF 10.-. L'intimé sera mis au bénéfice du sursis, dont les conditions sont réalisées (art. 42 al. 1 et 2 CP), avec un délai d'épreuve de trois ans vu l'absence de prise de conscience (art. 44 al. 1 CP).</w:t>
      </w:r>
    </w:p>
    <w:p>
      <w:r>
        <w:rPr>
          <w:b/>
        </w:rPr>
        <w:t>E. 4.1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w:t>
      </w:r>
    </w:p>
    <w:p>
      <w:r>
        <w:rPr>
          <w:b/>
        </w:rPr>
        <w:t>E. 4.2</w:t>
      </w:r>
    </w:p>
    <w:p>
      <w:r>
        <w:t>Vu le verdict de culpabilité prononcé en appel, l'intimé ne peut prétendre au versement d'une indemnité fondée sur l'art. 429 CPP, étant précisé que l'activité de son conseil aurait été identique si la procédure n'avait porté que sur l'infraction décrite à l'al. 4 1ère partie de l'art. 261bis CP. L'intimé sera ainsi débouté de ses conclusions en indemnisation relatives aux procédures de première instance et d'appel.</w:t>
      </w:r>
    </w:p>
    <w:p>
      <w:r>
        <w:rPr>
          <w:b/>
        </w:rPr>
        <w:t>E. 5.1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5.2</w:t>
      </w:r>
    </w:p>
    <w:p>
      <w:r>
        <w:t>Dans la suite ce qui a précédemment été évoqué (point. 4.2), il sied de considérer que l'intimé a entièrement succombé, l'acquittement confirmé étant inopérant dans la</w:t>
      </w:r>
    </w:p>
    <w:p>
      <w:r>
        <w:t>- 22/25 - P/2155/2015 mesure où il a été reconnu coupable de discrimination raciale sous l'angle d'un autre volet de l'art. 261bis CP. Par conséquent, il supportera l'intégralité des frais des procédures de première instance et d'appel, ceux-ci comprenant un émolument de jugement de CHF 2'000.- (art. 14 al. 1 let. e du Règlement fixant le tarif des frais en matière pénale ; E 4 10.03). * * * * *</w:t>
      </w:r>
    </w:p>
    <w:p>
      <w:r>
        <w:t>- 23/25 - P/2155/2015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