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AARP/212/2020 vom 18. Juni 2020</w:t>
      </w:r>
    </w:p>
    <w:p>
      <w:r>
        <w:t>GE Cour de justice, 2020-06-18, FR</w:t>
      </w:r>
    </w:p>
    <w:p>
      <w:r>
        <w:rPr>
          <w:b/>
        </w:rPr>
        <w:t xml:space="preserve">Quelle: </w:t>
      </w:r>
      <w:r>
        <w:t>https://mcp.opencaselaw.ch/entscheid/ge_gerichte_AARP_212_2020</w:t>
      </w:r>
    </w:p>
    <w:p>
      <w:r>
        <w:t>FR: GE_GERICHTE AARP/212/2020 du 18 juin 2020</w:t>
      </w:r>
    </w:p>
    <w:p>
      <w:r>
        <w:t>IT: GE_GERICHTE AARP/212/2020 del 18 giugno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D'après l'art. 10 al. 3 CPP, le tribunal se fonde sur l'état de fait le plus favorable au prévenu lorsque subsistent des doutes insurmontables quant aux éléments factuels justifiant une condamnation. Cette disposition concrétise le principe constitutionnel de la présomption d'innocence (in dubio pro reo ; art. 6 ch. 2 CEDH et art. 32 al. 1 Cst.). Elle interdit lors de l’appréciation juridique d’un élément objectif de l’infraction de retenir un élément de fait défavorable au prévenu si, ensuite d’une appréciation objective de l’ensemble des preuves, il demeure des doutes sérieux quant à savoir si l’état de fait s’est effectivement réalisé ainsi, ou si un état de fait plus favorable au prévenu ne peut être raisonnablement exclu. Une vraisemblance simple ne suffit donc pas. Une certitude absolue ne peut toutefois pas non plus être exigée ; des doutes abstraits et théoriques ne peuvent en effet presque jamais être complètement écartés (ATF 144 IV 345 consid. 2.2.3 et ATF 138 V 74 consid. 7).</w:t>
      </w:r>
    </w:p>
    <w:p>
      <w:r>
        <w:rPr>
          <w:b/>
        </w:rPr>
        <w:t>E. 2.2</w:t>
      </w:r>
    </w:p>
    <w:p>
      <w:r>
        <w:t>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lorsque la visibilité n'est pas bonne, aux intersections qu'il ne peut embrasser du regard, ainsi qu'aux passages à niveau (art. 32 al. 1 LCR). La vitesse maximale générale des véhicules peut atteindre 120 km/h sur les autoroutes, lorsque les conditions de la route, de la circulation et de visibilité sont favorables (art. 4a al. 1 de l'ordonnance sur les règles de la circulation routière du 13 novembre 1962 [OCR ; RS 741.11]). Lorsque des signaux indiquent d’autres vitesses maximales, celles-ci sont applicables en lieu et place des limitations générales de vitesse (art. 4a al. 5 OCR).</w:t>
      </w:r>
    </w:p>
    <w:p>
      <w:r>
        <w:rPr>
          <w:b/>
        </w:rPr>
        <w:t>E. 2.3</w:t>
      </w:r>
    </w:p>
    <w:p>
      <w:r>
        <w:t>Aux termes de l’art. 90 al. 1 LCR, est punissable celui qui viole les règles de la circulation prévues par la LCR ou par les dispositions d’exécution émanant du Conseil fédéral. Commet une violation grave d’une règle de la circulation, celui qui crée un sérieux danger pour la sécurité d’autrui ou en prend le risque (art. 90 al. 2 LCR).</w:t>
      </w:r>
    </w:p>
    <w:p>
      <w:r>
        <w:t>- 5/13 - P/12156/2017 Pour déterminer si une violation d'une règle de la circulation doit être qualifiée de grave au sens de l'art. 90 al. 2 LCR, il faut procéder à une appréciation aussi bien objective que subjective.</w:t>
      </w:r>
    </w:p>
    <w:p>
      <w:r>
        <w:rPr>
          <w:b/>
        </w:rPr>
        <w:t>E. 2.4</w:t>
      </w:r>
    </w:p>
    <w:p>
      <w:r>
        <w:t>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Le comportement de l'auteur doit causer une mise en danger de la vie ou de la santé d'un être humain, à l'exclusion du patrimoine d'autrui.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L'existence d'un danger concret, d'un danger abstrait accru ou d'un danger tout simplement abstrait dépend des circonstances dans lesquelles la violation a eu lieu. Le critère déterminant pour conclure à l'existence d'un danger abstrait accru réside dans l'imminence du danger (ATF 131 IV 133 consid. 3.2 et les références). La simple possibilité qu'un danger se réalise ne tombe toutefois sous le coup de l'art. 90 ch. 2 LCR que si, en raison de circonstances particulières, la survenance d'un danger concret ou même d'une blessure est très probable (ATF 143 IV 500 consid. 2 ; ATF 123 IV 88 consid. 3a ; ATF 118 IV 285 consid. 3a).</w:t>
      </w:r>
    </w:p>
    <w:p>
      <w:r>
        <w:rPr>
          <w:b/>
        </w:rPr>
        <w:t>E. 2.5</w:t>
      </w:r>
    </w:p>
    <w:p>
      <w:r>
        <w:t>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(ATF 131 IV 133 consid. 3.2).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Plus la violation de la règle de la circulation apparaît objectivement grave, plus facilement sera admis l'existence d'une absence de scrupule, sauf indice particulier permettant de retenir le contraire (ATF 142 IV 93 consid. 3.1 et les références). L'acceptation de l'absence de scrupules ne peut cependant pas être déduite de toute inattention (ATF 143 IV 500 consid. 2 ; arrêt du Tribunal fédéral 6B_23/2016 du 9 décembre 2016 consid. 3.2). 2.6.1. Dans le domaine des excès de vitesse, la jurisprudence a été amenée à fixer des règles précises afin d'assurer l'égalité de traitement. Ainsi, le cas est objectivement grave au sens de l'art. 90 al. 2 LCR, sans égard aux circonstances concrètes, en cas de</w:t>
      </w:r>
    </w:p>
    <w:p>
      <w:r>
        <w:t>- 6/13 - P/12156/2017 dépassement de la vitesse autorisée de 30 km/h ou plus hors des localités et de 35 km/h ou plus sur les autoroutes (ATF 143 IV 508 consid. 1.3). Subjectivement, le conducteur qui dépasse de manière aussi caractérisée la vitesse autorisée agit intentionnellement ou à tout le moins par négligence grossière (arrêts du Tribunal fédéral 6B_1011/2013 du 13 mars 2014 consid. 2.1 ; 6B_571/2012 du 8 avril 2013 consid. 3.4). À l'inverse, un dépassement de vitesse peut constituer un cas de moindre gravité que celui qui résulterait d'une appréciation purement schématique, lorsque le conducteur avait des motifs sérieux de penser qu'il ne se trouvait plus dans la zone de limitation de vitesse (ATF 126 II 196 consid. 2a et les arrêts cités). 2.6.2. Le seuil précité de 35 km/h pour admettre un cas grave sur une autoroute s'applique aux configurations classiques où la vitesse maximale autorisée est de 120 km/h. Ce seuil ne peut pas être transposé sans autre aux portions d'autoroute sur lesquelles la vitesse est limitée pour des raisons de sécurité. Ainsi, un tronçon autoroutier régi par une limite de vitesse inférieure à 120 km/h pour des raisons de sécurité, plus particulièrement en cas de limitation à 80 km/h, est comparable, eu égard au danger potentiel, à une route située en dehors d'une localité et non à une autoroute, quand bien même les usagers disposent de deux voies dans le même sens de marche. Cela signifie que, dans un tel cas de figure, en matière d'excès de vitesse, ce sont les principes développés par la jurisprudence pour les routes situées en dehors des localités qui doivent, en règle générale, être appliqués (cf. supra consid. 2.6.1 ; arrêt du Tribunal fédéral 6B_444/2016 du 3 avril 2017 consid. 1.3.1). Un chantier sur la chaussée doit inciter les conducteurs à une attention et une prudence accrues. La présence d'ouvriers, même seulement potentielle, sur la zone en question accroît considérablement les risques pour la sécurité (arrêt du Tribunal fédéral 6B_672/2018 du 20 septembre 2018 consid. 1.3).</w:t>
      </w:r>
    </w:p>
    <w:p>
      <w:r>
        <w:rPr>
          <w:b/>
        </w:rPr>
        <w:t>E. 2.7</w:t>
      </w:r>
    </w:p>
    <w:p>
      <w:r>
        <w:t>Le 25 février 2017, sur le tronçon en cause, la limite de vitesse était abaissée à 80 km/h, depuis près de 11 mois, en raison de la conduite de travaux de génie civil en prévision du chantier d'assainissement des liaisons intertubes des tunnels de Confignon et de Vernier ainsi que cela ressort expressément de la décision de l'OFROU laquelle dispose que les restrictions de limitation et la conduite des travaux susmentionnés sont signalisées et marquées dès le 1er avril 2016 jusqu'au 30 avril 2017. Rien ne permet de retenir que, nonobstant l’arrêté de l’OFROU, seule la limitation de vitesse était indiquée, à l’exclusion des travaux, étant rappelé que la signalisation correcte de la première résulte de l’annexe au rapport de renseignement, peut être déduite du jalonnage du radar et n’est au demeurant pas contestée par l’appelant joint, qui admet ne pas l’avoir vue mais n’en nie pas l’existence. D’ailleurs, il est hautement invraisemblable que, 11 mois après le début des travaux, un marquage insuffisant n’aurait pas été relevé, et partant corrigé, d’autant plus que l’autoroute de contournement de Genève est très fortement fréquentée.</w:t>
      </w:r>
    </w:p>
    <w:p>
      <w:r>
        <w:t>- 7/13 - P/12156/2017 Partant, la CPAR retient que, le 25 février 2017, la poursuite de travaux était signalée sur le tronçon en cause et la vitesse maximale limitée pour cette raison à 80 km/h. Conformément à la jurisprudence rappelée ci-dessus (cf. supra consid. 2.6.2), quand bien même les usagers disposaient de deux voies dans le même sens de marche, le tronçon en cause s'apparente à une route hors localité. Le dépassement de vitesse litigieux de 31 km/h est supérieur à 30 km/h qui constitue le seuil pour le cas grave hors localité et peut par conséquent être objectivement qualifié de grave. La limitation à 80 km/h était applicable en tout temps pendant toute la durée des travaux, sans égard aux horaires du chantier. S’il est vrai que le dossier de la procédure ne contient aucune information sur la présence ou non au moment des faits, d’ouvriers aux abords de la voie, il n’en demeure pas moins que les conditions d’une mise en danger abstraite accrue sont données. On ne saurait en effet admettre qu’il appartient aux automobilistes de déterminer si des ouvriers sont véritablement susceptibles d’être présents, au moment précis où ils abordent le site d’un chantier. Il suffit de retenir que tel pouvait être le cas, à n’importe quel moment du jour et de la nuit, dans la mesure où il est notoire que des travaux sur des tronçons très fréquentés comme celui en cause peuvent avoir lieu de nuit et le weekend, pour ne pas perturber le trafic comme pour faciliter les travaux. Le fait qu’un chantier ne soit pas manifeste pour les usagers de la route ne permet en outre pas à lui seul d’écarter la présence de travaux, ceux-ci pouvant être effectués dans des zones peu visibles. Dès lors, la simple existence de travaux impliquait un danger particulier. En outre, l’imminence en est également réalisée par le danger potentiel causé par l’appelant pour les autres conducteurs qui respectaient la limitation de vitesse en place. Ici encore, peu importe l’heure, au demeurant pas si tardive, la présence de tout autre véhicule ne pouvant être exclue. Partant, en circulant, de nuit, à une vitesse de 117 km/h commettant un dépassement de vitesse de 31 km/h (marge de sécurité déduite), l’appelant joint est l’auteur d’une violation objectivement grave des règles sur la circulation routière. Subjectivement, l’appelant a déclaré au cours de la procédure ne pas avoir vu les panneaux limitant la vitesse à 80 km/h. Ce nonobstant, la jurisprudence en matière d’excès de vitesse a fixé des règles précises afin d’assurer l’égalité de traitement. Conformément à celles-ci, le conducteur qui dépasse la vitesse autorisée dans une mesure telle que le cas est objectivement grave agit intentionnellement ou à tout le moins par négligence grossière. Il n’y a pas lieu de s’écarter de cette appréciation ici, aucune circonstance ne permettant de faire apparaître le comportement de l’auteur sous un jour plus favorable. Partant, le comportement de l’appelant, qui n’a pas prêté attention à la signalisation en place limitant la vitesse à 80 km/h, est subjectivement grave.</w:t>
      </w:r>
    </w:p>
    <w:p>
      <w:r>
        <w:t>- 8/13 - P/12156/2017 L’appelant s’est en conclusion bien rendu coupable d’une violation grave des règles sur la circulation routière au sens de l’art. 90 al. 2 LCR. Le jugement entrepris est modifié sur ce point.</w:t>
      </w:r>
    </w:p>
    <w:p>
      <w:r>
        <w:rPr>
          <w:b/>
        </w:rPr>
        <w:t>E. 3.1</w:t>
      </w:r>
    </w:p>
    <w:p>
      <w:r>
        <w:t>La violation grave des règles de la circulation routière est sanctionnée par une peine privative de liberté de trois ans au plus ou par une peine pécuniaire (art. 90 al. 2 LCR).</w:t>
      </w:r>
    </w:p>
    <w:p>
      <w:r>
        <w:rPr>
          <w:b/>
        </w:rPr>
        <w:t>E. 3.2</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3.3.1. La détermination du nombre de jours-amende est fonction de la culpabilité de l'auteur (art. 34 al. 1 1ère phrase CP).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3.3.2. Selon l'art. 34 al. 2 2ème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w:t>
      </w:r>
    </w:p>
    <w:p>
      <w:r>
        <w:t>- 9/13 - P/12156/2017 économique réelle de fournir une prestation qui est déterminante. La situation à prendre en compte est celle existant au moment où le juge du fait statue. Constituent des revenus, outre ceux d'une activité lucrative dépendante ou indépendante, les revenus de la fortune (loyers et fermages, intérêt du capital, dividendes, etc.).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 ATF 134 IV 60 consid. 6.1). Le juge dispose en outre d'un large pouvoir d'appréciation, lui permettant de procéder à une estimation du montant du jour-amende en fonction des informations dont il dispose (arrêt du Tribunal fédéral 6B_568/2012 du 16 novembre 2012 consid. 2.1). L'accusé ne peut dans ce cas se prévaloir du principe in dubio pro reo (arrêt du Tribunal fédéral 6P.155/2006 du 28 décembre 2006 consid. 10.3).</w:t>
      </w:r>
    </w:p>
    <w:p>
      <w:r>
        <w:rPr>
          <w:b/>
        </w:rPr>
        <w:t>E. 3.4</w:t>
      </w:r>
    </w:p>
    <w:p>
      <w:r>
        <w:t>Conformément à l'art. 42 al. 1 CP, le juge suspend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w:t>
      </w:r>
    </w:p>
    <w:p>
      <w:r>
        <w:rPr>
          <w:b/>
        </w:rPr>
        <w:t>E. 3.5</w:t>
      </w:r>
    </w:p>
    <w:p>
      <w:r>
        <w:t>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 La peine prononcée avec sursis reste prépondérante, alors que l'amende est d'importance secondaire (ATF 134 IV 1 consid. 4.5.2.).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 arrêt du Tribunal fédéral 6B_952/2016 du 29 août 2017 consid. 3.1).</w:t>
      </w:r>
    </w:p>
    <w:p>
      <w:r>
        <w:t>- 10/13 - P/12156/2017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w:t>
      </w:r>
    </w:p>
    <w:p>
      <w:r>
        <w:rPr>
          <w:b/>
        </w:rPr>
        <w:t>E. 3.6</w:t>
      </w:r>
    </w:p>
    <w:p>
      <w:r>
        <w:t>L’appelant joint a dépassé de manière importante la vitesse maximale autorisée de 80 km/h. Il n’a pas allégué avoir eu un quelconque motif d’agir ainsi et l’a donc fait par pure convenance personnelle. Sa faute est importante.</w:t>
      </w:r>
    </w:p>
    <w:p>
      <w:r>
        <w:t>L’infraction a été commise sur un tronçon rectiligne de l’autoroute, de nuit, la chaussée étant sèche et la circulation fluide. Il n’y a pas eu de mise en danger concrète d’autres usagers. L’intéressé a d’emblée reconnu sa culpabilité mais en a minimisé la gravité, de sorte que la prise de conscience n’est que partielle.</w:t>
      </w:r>
    </w:p>
    <w:p>
      <w:r>
        <w:t>Le prévenu est sans antécédent, ce qui est un facteur neutre dans la fixation de la peine. Il se justifie ainsi de prononcer à son encontre une peine pécuniaire de 30 jours- amende. Le montant du jour-amende sera fixé à CHF 810.-. Le montant déterminé par le MP dans l'ordonnance pénale du 30 juin 2017 paraît adéquat au vu de la situation financière de l'appelant telle qu'établie devant le premier juge. La production en appel – sans autre explication – de la première page de la déclaration fiscale 2018 de l'appelant joint ne permet pas de conclure à une modification de sa situation. Le bénéfice du sursis, dont les conditions sont réalisées, est acquis à l’appelant joint. Un délai d’épreuve de deux ans paraît de nature à dissuader le prévenu de récidiver, étant rappelé qu’il est sans antécédent. A titre de prévention spéciale, le prononcé d'une amende immédiate de CHF 2’000.- en sus s'impose, pour faire comprendre à l'appelant joint, qui continue de la nier, la gravité de ses actes. La peine privative de liberté de substitution sera fixée à deux jours. Le jugement entrepris est modifié dans le sens qui précède.</w:t>
      </w:r>
    </w:p>
    <w:p>
      <w:r>
        <w:rPr>
          <w:b/>
        </w:rPr>
        <w:t>E. 4</w:t>
      </w:r>
    </w:p>
    <w:p>
      <w:r>
        <w:t>L'appelant joint, qui succombe pour l’essentiel, supportera les frais de la procédure envers l'État qui comprennent un émolument de décision de CHF 1'800.- (art. 428 CPP), sans modification de la répartition des frais de première instance, telle qu’elle résulte du jugement entrepris (art. 428 al. 3 CPP). * * * * *</w:t>
      </w:r>
    </w:p>
    <w:p>
      <w:r>
        <w:t>- 11/13 - P/12156/2017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