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AARP/211/2013 vom 31. Januar 2013</w:t>
      </w:r>
    </w:p>
    <w:p>
      <w:r>
        <w:t>GE Cour de justice, 2013-01-31, FR</w:t>
      </w:r>
    </w:p>
    <w:p>
      <w:r>
        <w:rPr>
          <w:b/>
        </w:rPr>
        <w:t xml:space="preserve">Quelle: </w:t>
      </w:r>
      <w:r>
        <w:t>https://mcp.opencaselaw.ch/entscheid/ge_gerichte_AARP_211_2013</w:t>
      </w:r>
    </w:p>
    <w:p>
      <w:r>
        <w:t>FR: GE_GERICHTE AARP/211/2013 du 31 janvier 2013</w:t>
      </w:r>
    </w:p>
    <w:p>
      <w:r>
        <w:t>IT: GE_GERICHTE AARP/211/2013 del 31 gennaio 2013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- 6/10 - P/13431/2012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2.1.2 D'après l'art. 49 al. 1 CP, si, en raison d'un ou de plusieurs actes, l'auteur remplit les conditions de plusieurs peines de même genre, le juge le condamne à la peine de l'infraction la plus grave et l'augmente dans une juste proportion. 2.1.3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 2.1.4 En ce qui concerne l'effet de la peine sur l'avenir du condamné,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2.1.5 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 du Tribunal fédéral 6B_708/2008 duu 22 octobre 2008 consid. 3.2 et 6B_646/2008 du 23 avril 2009 consid. 4.3.2 et les références citées).</w:t>
      </w:r>
    </w:p>
    <w:p>
      <w:r>
        <w:t>- 7/10 - P/13431/2012</w:t>
      </w:r>
    </w:p>
    <w:p>
      <w:r>
        <w:rPr>
          <w:b/>
        </w:rPr>
        <w:t>E. 2.2</w:t>
      </w:r>
    </w:p>
    <w:p>
      <w:r>
        <w:t>En l’occurrence, l’intimé a commis plusieurs infractions significative, soit un vol, un recel, l’infraction à la LEtr et celle aux art. 252 et 255 CP, s’en prenant à trois biens juridiques distincts. La subtilisation du porte-monnaie d’un touriste, selon toute vraisemblance choisi parce qu’il était susceptible d’être porteur de sommes importantes, nécessite une certaine expertise et du sang-froid. En se portant acquéreur de chaînes arrachées, l’intimé a recelé le fruit d’actes violents, favorisant de ce fait ce type de comportement. Le séjour illégal et le faux dans les certificats étrangers ne sont pas non plus anodins, démontrant le mépris de l’intimé pour les lois et sa détermination à rechercher son seul intérêt. Les mobiles, tenant à l’appât du gain ou à l’autofavorisation malgré les règles en vigueur, sont égoïstes. La faute est par conséquent sérieuse.</w:t>
      </w:r>
    </w:p>
    <w:p>
      <w:r>
        <w:t>La collaboration de l’intimé a été des plus médiocres, celui-ci n’admettant les faits que partiellement, et dans la mesure où ils étaient établis par les éléments de l’enquête. Au stade de l’appel encore, il persiste à prétendre avoir acquis des bijoux volés pour en faire des cadeaux alors que cela est totalement invraisemblable au regard de sa situation personnelle. Il n’y a aucune prise de conscience.</w:t>
      </w:r>
    </w:p>
    <w:p>
      <w:r>
        <w:t>Il y a concours d’infractions. Les antécédents de l’intimé sont mauvais pour être spécifiques, récents et multiples. Contrairement à ce qu’il prétend, la grossesse de la compagne de l’intimé, déjà connue lors de la commission des deux infractions contre le patrimoine, ne l’a pas amené à mettre fin à son comportement délictueux. La situation personnelle du couple était certes difficile, mais elle ne justifie pas les actes commis. On ne saurait suivre l’intimé lorsqu’il prétend avoir volé parce qu’il y était acculé, alors que le montant du loyer payé par sa compagne, la somme de CHF 1'000.- ou 1'600.- remise aux vendeurs des chaînes volés et les espèces en CHF 990.- et EUR 2'300.- trouvées dans son logement, auraient permis de payer les frais d’un voyage en Italie, outre l’entretien courant pendant un certain temps. L’intimé, qui refuse de retourner dans son pays d’origine ou de s’installer dans celui de sa compagne, ne présente pas non plus un projet d’avenir crédible, rien ne permettant de penser qu’il trouverait du travail en Italie aujourd’hui plus facilement qu’en 2009 ou qu’il pourrait y régulariser sa situation. Il y a ainsi fort à craindre qu’il ne persiste sur la voie de la délinquance, que ce soit en Suisse ou en Italie, à supposer qu’il s’y rende réellement. Le risque est d’autant plus grand qu’il a désormais un enfant à charge. Dans ces circonstances, la peine privative de liberté de 6 mois fixée par le premier juge est manifestement trop clémente. Il convient d’admettre l’appel du Ministère public et d’arrêter la peine à 12 mois.</w:t>
      </w:r>
    </w:p>
    <w:p>
      <w:r>
        <w:t>- 8/10 - P/13431/2012</w:t>
      </w:r>
    </w:p>
    <w:p>
      <w:r>
        <w:rPr>
          <w:b/>
        </w:rPr>
        <w:t>E. 3</w:t>
      </w:r>
    </w:p>
    <w:p>
      <w:r>
        <w:t>L'appel ayant été admis, les frais seront mis à la charge de l’intimé, y compris un émolument de CHF 1'200.- (art. 428 CPP et 14 al. 1 let. e du règlement fixant le tarif des frais en matière pénale, du 22 décembre 2010 [RTFMP ; RS-GE E 4 10.03]) * * * * *</w:t>
      </w:r>
    </w:p>
    <w:p>
      <w:r>
        <w:t>- 9/10 - P/13431/2012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