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AARP/210/2019 vom 28. Juni 2019</w:t>
      </w:r>
    </w:p>
    <w:p>
      <w:r>
        <w:t>GE Cour de justice, 2019-06-28, FR</w:t>
      </w:r>
    </w:p>
    <w:p>
      <w:r>
        <w:rPr>
          <w:b/>
        </w:rPr>
        <w:t xml:space="preserve">Quelle: </w:t>
      </w:r>
      <w:r>
        <w:t>https://mcp.opencaselaw.ch/entscheid/ge_gerichte_AARP_210_2019</w:t>
      </w:r>
    </w:p>
    <w:p>
      <w:r>
        <w:t>FR: GE_GERICHTE AARP/210/2019 du 28 juin 2019</w:t>
      </w:r>
    </w:p>
    <w:p>
      <w:r>
        <w:t>IT: GE_GERICHTE AARP/210/2019 del 28 giugno 2019</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arrêt du Tribunal fédéral 6B_804/2017 du 23 mai 2018 consid. 2.2.3.1 destiné à la publication).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(cf. ATF 143 IV 500 consid. 1.1 p. 503 ; arrêt du Tribunal fédéral 6B_377/2018 du 22 août 2018 consid. 1.1).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En revanche, l'absence de doute à l'issue de l'appréciation des preuves exclut la violation de la présomption d'innocence en tant que règle sur le fardeau de la preuve (arrêt du Tribunal fédéral 6B_804/2017 du 23 mai 2018 consid. 2.2.3.3 destiné à la publication).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w:t>
      </w:r>
    </w:p>
    <w:p>
      <w:r>
        <w:t>- 8/18 - P/8634/2016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arrêts du Tribunal fédéral 6B_634/2018 du 22 août 2018 consid. 2.1 ; 6B_804/2017 du 23 mai 2018 consid. 2.2.3.3 destiné à la publication ; 6B_1306/2017 du 17 mai 2018 consid. 2.1.1). 2.1.2.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2.1.3. L'art. 6 par. 3 let. d de la Convention de sauvegarde des droits de l'homme et des libertés fondamentales (RS 0.101 ; CEDH) exclut qu'un jugement pénal soit fondé sur les déclarations de témoins sans qu'une occasion appropriée et suffisante soit au moins une fois offerte au prévenu de mettre ces témoignages en doute et d'interroger les témoins, à quelque stade de la procédure que ce soit. Ce droit est absolu lorsque la déposition du témoin en cause est d'une importance décisive, notamment lorsqu'il est le seul témoin, ou que sa déposition constitue une preuve essentielle. Cependant, 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(arrêt du Tribunal fédéral 6B_1310/2016 du 13 décembre 2017 consid. 2.1 et les références citées).</w:t>
      </w:r>
    </w:p>
    <w:p>
      <w:r>
        <w:rPr>
          <w:b/>
        </w:rPr>
        <w:t>E. 2.2</w:t>
      </w:r>
    </w:p>
    <w:p>
      <w:r>
        <w:t>En l'espèce, la CPAR retient les éléments suivants : Contrairement à ce qui est soutenu par l'appelant, les déclarations de D______ ne sont ni incohérentes, ni truffées de contradictions au point qu'elles ne sauraient être retenues à charge. Au contraire, il ressort tant de sa déclaration à la police française le 20 décembre 2015, que de son courrier du 7 février 2016 et ses déclarations subséquentes devant le premier juge, qu'il a toujours soutenu que A______ avait conduit son véhicule lors du retour de la virée à Genève durant tout le trajet. Ce n'est pas la confusion de dates qu'il a initialement faite devant le premier juge, d'ailleurs corrigée en relevant qu'il se souvenait plus précisément de celle-ci en rapport à son courrier précité, et relative à la date précise de cette venue qui remet en cause cette appréciation. En effet, nul doute que D______ s'est bien constamment exprimé sur les circonstances des évènements survenus les 19 et 20 décembre 2015 au vu des détails donnés au premier juge quant à l'enchaînement des évènements et l'interpellation subséquente en France. Nulle contradiction ne ressort non plus du fait qu'il a déclaré à la police française avoir conduit initialement le véhicule, étant relevé qu'il a toujours soutenu l'avoir fait lors du trajet aller, ce à quoi peut parfaitement</w:t>
      </w:r>
    </w:p>
    <w:p>
      <w:r>
        <w:t>- 9/18 - P/8634/2016 correspondre sa réponse faite à la police française le 20 décembre 2015. En conséquence, il n'y a pas lieu d'écarter ces déclarations dans l'appréciation des faits. Dans ce contexte, il sied de prendre en compte les déclarations faites par C______ qui a également indiqué à la police française, le 20 décembre 2015, hors de tout contexte lié à une poursuite pénale genevoise, que l'appelant avait bien pris le volant du véhicule immatriculé 2______au petit matin de ce même jour dès le début de leur périple de retour de Genève à I______. Cette déclaration corrobore entièrement celle de D______. En tant qu'elle ne constitue ainsi pas l'unique témoignage soutenant la version des faits selon laquelle c'est bien l'appelant qui conduisait le véhicule précité, l'audition de C______ par la police française peut être exploitée sans violation de la CEDH. A ce qui précède s'ajoute encore le peu de crédibilité à accorder aux propres déclarations de l'appelant lorsqu'il a été interrogé par la police française sur sa conduite du véhicule immatriculé 2______au passage de la route Blanche lors de l'excès de vitesse. En effet, il a prétendu ne pas être entré en Suisse étant déposé à J______ [France] le 19 décembre 2015 où il aurait passé la nuit seul avant d'être recherché en ce lieu le lendemain à l'aube par D______, alors même que dans le cadre des autres déclarations qu'il a faites à la police française après son interpellation par cette dernière pour avoir forcé le péage autoroutier, il a admis s'être rendu à Genève en compagnie de ses deux amis pour y passer la nuit en discothèque. Ainsi donc, la CPAR retient sans l'ombre d'un doute que A______ était bien l'auteur de l'excès de vitesse du 20 décembre 2015 au volant du véhicule immatriculé 2______ et qu'il s'est bien rendu coupable de violation intentionnelle des règles fondamentales de la circulation routière au sens des art. 90 al. 3 et 4 LCR.</w:t>
      </w:r>
    </w:p>
    <w:p>
      <w:r>
        <w:rPr>
          <w:b/>
        </w:rPr>
        <w:t>E. 3</w:t>
      </w:r>
    </w:p>
    <w:p>
      <w:r>
        <w:t>3.1.1. Selon l'art. 90 al. 3 LCR,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À teneur de l'art. 90 al. 4 LCR, l'al. 3 est toujours applicable lorsque la vitesse maximale autorisée a été dépassée : d'au moins 40 km/h, là où la limite était fixée à 30 km/h (let. a) ; d'au moins 50 km/h, là où la limite était fixée à 50 km/h (let. b) ; d'au moins 60 km/h, là où la limite était fixée à 80 km/h (let. c) ; d'au moins 80 km/h, là où la limite était fixée à plus de 80 km/h (let. d). L'art. 90 al. 3 et 4 LCR, entré en vigueur le 1er janvier 2013, consacre une troisième catégorie d'infractions aux règles de la circulation routière sous la forme d'un crime (cf. art. 90 al. 1 LCR constituant une contravention et 90 al. 2 LCR un délit). Sur le plan subjectif, l'art. 90 al. 3 LCR déroge à l'art. 100 ch. 1 LCR et limite la punissabilité à l'intention. Celle-ci doit porter sur la violation des règles</w:t>
      </w:r>
    </w:p>
    <w:p>
      <w:r>
        <w:t>- 10/18 - P/8634/2016 fondamentales de la circulation routière ainsi que sur le risque d'accident pouvant entraîner de graves blessures ou la mort (cf. Message du 9 mai 2012 concernant l'initiative populaire "Protection contre les chauffards", FF 2012 5067 ch. 3.3 ; ATF 142 IV 137 consid. 3.3 p. 140 et les références ; arrêt du Tribunal fédéral 6B_136/2016 du 23 janvier 2017 consid. 2.1). 3.1.2. Le nouveau droit des sanctions en vigueur depuis le 1er janvier 2018 n’étant pas plus favorable à l’appelant, il n’en sera pas fait application (art. 2 al. 2 CP "a contrario"). 3.1.3. Selon l'art. 47 du Code pénal suisse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consid. 3.1 ; 6B_1428/2016 du 3 octobre 2017 consid. 4.1 ; 6B_326/2016 du 22 mars 2017 consid. 4.1). 3.1.4. Aux termes de l'art. 42 al. 1 aCP, le juge suspend en règle générale l'exécution d'une peine privative de liberté de six mois au moins et de deux ans au plus lorsqu'une peine ferme ne paraît pas nécessaire pour détourner l'auteur d'autres crimes ou délits. Sur le plan subjectif, le juge doit poser, pour l'octroi du sursis – ou du sursis partiel –, un pronostic quant au comportement futur de l'auteur. En l'absence de pronostic défavorable, il doit prononcer le sursis. Celui-ci est ainsi la règle dont le juge ne peut</w:t>
      </w:r>
    </w:p>
    <w:p>
      <w:r>
        <w:t>- 11/18 - P/8634/2016 s'écarter qu'en présence d'un pronostic défavorable ou hautement incertain (ATF 135 IV 180 consid. 2.1 p. 185 s. ; ATF 134 IV 1 consid. 4.2.2 p. 5).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 Le juge doit par ailleurs motiver sa décision de manière suffisante (cf. art. 50 CP). Sa motivation doit permettre de vérifier s'il a tenu compte de tous les éléments pertinents et comment ils ont été appréciés. Le sursis est la règle dont on ne peut s'écarter qu'en présence d'un pronostic défavorable. Il prime en cas d'incertitude (ATF 135 IV 180 consid. 2.1 p. 185 s. et les références ; ATF 134 IV 140 consid. 4.2 p. 143 ; arrêts du Tribunal fédéral 6B_1339/2016 du 23 mars 2017 consid. 1.1.1 ; 6B_372/2016 du 22 mars 2017 consid. 4). L'absence de récidive durant l'année précédant l'arrêt attaqué n'est pas pertinente, dès lors qu'un tel comportement correspond à ce que l'on doit pouvoir attendre de tout un chacun (arrêts du Tribunal fédéral 6B_740/2016 du 2 juin 2017 consid. 2.2 et les références). Le défaut de prise de conscience de la faute peut justifier un pronostic défavorable, car seul celui qui se repent de son acte mérite la confiance que l'on doit pouvoir accorder au condamné bénéficiant du sursis (arrêt du Tribunal fédéral 6B_276/2018 consid. 3.1). Toutefois, le seul refus de collaborer à l'instruction, respectivement le déni des infractions commises, ne permet pas de tirer des conclusions sur la prise de conscience du condamné et de motiver le refus du sursis. Le juge doit, au contraire, rechercher les raisons qui motivent ce refus puis les confronter à l'ensemble des éléments pertinents pour le pronostic (arrêts du Tribunal fédéral 6B_888/2015 du 2 mai 2016 consid. 3.3.2 et 6B_348/2014 du 19 juin 2014 consid. 2.2). La commission d'un crime ou d'un délit durant le délai d'épreuve n'entraîne dès lors pas nécessairement une révocation du sursis. Celle-ci ne se justifie qu'en cas d'un pronostic défavorable, à savoir lorsque la nouvelle infraction laisse entrevoir une réduction sensible des perspectives de succès de la mise à l'épreuve (ATF 134 IV 140 consid. 4.2 et 4.3 p. 142 s.). Par analogie avec l'art. 42 al. 1 et 2 CP, le juge se fonde sur une appréciation globale des circonstances du cas d'espèce pour estimer le risque de récidive (ATF 134 IV 40 consid. 4.4 p. 143). En particulier, il doit prendre en considération l'effet dissuasif que la nouvelle peine peut exercer, si elle est exécutée (ATF 134 IV 140 consid. 4.5 p. 144). A l'inverse, lorsqu'un sursis antérieur est révoqué, l'exécution de la peine suspendue peut conduire à nier un pronostic défavorable et à assortir la nouvelle peine du sursis (ATF 134 IV 140 consid. 4.5 p. 144).</w:t>
      </w:r>
    </w:p>
    <w:p>
      <w:r>
        <w:t>- 12/18 - P/8634/2016 3.1.5. Dans le cadre du pronostic déterminant l'octroi du sursis, les antécédents pénaux ne constituent qu'un élément parmi d'autres. Ils ne l'emportent pas nécessairement sur les autres considérations pertinentes (arrêt 6B_569/2008 du 24 mars 2009 consid. 2.3 ; R. SCHNEIDER / R. GARRÉ, Basler Kommentar, Strafrecht I, 2e éd., 2007, n. 59 ad art. 42). Pour autant, on ne saurait en déduire qu'ils ne suffisent jamais à fonder un pronostic défavorable. Comme sous l'ancien droit (cf. ATF 98 IV 313 consid. 3 p. 313 s.), ils ne permettent certes pas à eux seuls de refuser le sursis si les peines prononcées dans les cinq ans qui précèdent l'infraction n'équivalent pas au moins à trois mois de privation de liberté au total (R. SCHNEIDER / R. GARRÉ, op. cit., n. 59 ad art. 42 CP). Mais des antécédents plus graves peuvent suffire à fonder un pronostic défavorable si le très mauvais signe qu'ils donnent n'est corrigé par aucun élément favorable, voire par aucun élément particulièrement favorable s'ils dépassent au total six mois de privation de liberté ou 180 jours-amende (art. 42 al. 2 CP). Des antécédents relatifs à d'autres types de délits ne sont pas sans pertinence pour l'établissement du pronostic en vue de l'octroi ou du refus du sursis (arrêt du Tribunal fédéral 6B_541/2007 du 13 mai 2008, consid. 2.3.3 ; ATF 100 IV 133, consid. 1d, p. 137 ; 98 IV 76 consid. 2, p. 82 ; v. également R. SCHNEIDER / R. GARRÉ, Basler Kommentar, Strafrecht I, 2e éd., 2007, n. 59 ad art. 42). Les peines prononcées à l'étranger, de même que celles qui y ont été exécutées renseignent au même titre que les peines prononcées et exécutées en Suisse sur les antécédents de l'auteur et constituent, partant, un critère pertinent pour le pronostic relatif à l'octroi ou au refus du sursis (ATF 105 IV 225 consid. 2 p. 226). La nature de l'infraction ne fournit aucune indication sur les perspectives d'amendement du condamné (arrêt du Tribunal fédéral 6B_435/2007 du 12 février 2008, consid. 3.6.1). La jurisprudence l'a relevé à de nombreuses reprises, notamment en relation avec la conduite en état d'ébriété (ATF 101 IV 257 consid. 1 p. 258, 98 IV 159, consid. 2 p. 161) ou les infractions à la loi fédérale sur les stupéfiants (ATF 101 IV 122 consid. 2 p. 123). 3.1.6. Selon l'art. 46 CP, si, durant le délai d'épreuve, le condamné commet un crime ou un délit et qu'il y a dès lors lieu de prévoir qu'il commettra de nouvelles infractions, le juge révoque le sursis ou le sursis partiel (alinéa 1, première phrase). S'il n'y a pas lieu de prévoir que le condamné commettra de nouvelles infractions, le juge renonce à ordonner la révocation (alinéa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w:t>
      </w:r>
    </w:p>
    <w:p>
      <w:r>
        <w:t>- 13/18 - P/8634/2016 considération l'effet dissuasif que la nouvelle peine peut exercer, si elle est exécutée (ATF 134 IV 140 consid. 4.4 et 4.5 p. 143 s. ; arrêt du Tribunal fédéral 6B_879/2016 du 22 juin 2017 consid. 3.1).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(arrêt du Tribunal fédéral 6B_105/2016 du 11 octobre 2016 consid. 1.1 et la référence citée). Le point de départ du délai d'épreuve coïncide avec la communication du jugement exécutoire (arrêt du Tribunal fédéral 6B-114/2013 du 1er juillet 2013, consid. 7). 3.1.7.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L'art. 42 al. 2 CP ne s'applique qu'en présence d'une seule condamnation antérieure, et non si l'auteur a été condamné à plusieurs peines, même si l'addition de leur durée dépasse six mois ou 180 jours-amende. En effet, ce qui est déterminant, c'est que l'auteur ait commis une infraction d'une certaine gravité, et non plus – comme sous l'ancien droit – qu'il ait purgé une peine privative de liberté d'une certaine longueur (arrêt du Tribunal fédéral 6B_812/2009 du 18 février 2010 consid. 2.1). 3.2.1. En l'espèce, la faute de l'appelant est importante dans la mesure où il a violé les règles fondamentales de la circulation routière en dépassant la vitesse autorisée de 51 km/h, sans se soucier du danger que représentait un tel comportement pour les autres usagers de la route, alors que la vitesse était limitée à 40 km/h à proximité immédiate du poste frontière de l'autoroute reliant la Suisse à la France.</w:t>
      </w:r>
    </w:p>
    <w:p>
      <w:r>
        <w:t>- 14/18 - P/8634/2016 Il est relevé que l'appelant a fait l'objet de la peine plancher prévue par la disposition légale, qui n'est, en tant que telle, remise en cause par aucune partie en cas de déclaration de culpabilité, et que seule est encore litigieuse la question de la mise au bénéfice du sursis de l'appelant en fonction du pronostic à émettre. Les considérations suivantes doivent être relevées : Avant les faits, l'appelant avait, deux ans auparavant, fait l'objet en Suisse d'une condamnation à une peine de 30 jours-amende à CHF 30.- le 9 décembre 2013 pour conduite d'un véhicule sans le permis de conduire requis, violation simple des règles de la LCR et entrée illégale par négligence, de même que d'une autre, en France, en juin 2013 pour violence domestique sans que l'on ne sache à quelle période remontaient ces faits. En décembre 2015, il était désormais séparé de sa compagne tout en entretenant des relations avec sa fille, et, âgé de 33 ans, occupait un emploi [auprès de] O_____. A l'exception des deux condamnations précitées, il n'en avait plus eu depuis 6 ans et demi, la dernière d'entre elle remontant à juin 2009. En regard des 18 condamnations figurant à son casier judiciaire français, ce qui précède témoigne que l'appelant avait très vraisemblablement dès 2009 modifié considérablement son mode de vie en cherchant à ne plus s'attirer les foudres de la justice, ce qu'il n'a pu totalement éviter toutefois. L'appelant n'a certes pas collaboré à la procédure et a fait des déclarations fantaisistes sur son implication dans les fait reproché tout en se refusant à se présenter devant le premier juge, ce qui témoigne autant d'un manque de prise de conscience que de sa difficulté à reconnaître un comportement délictueux. Cela étant, il ne ressort pas de ce qui précède que cela suffise à considérer que le pronostic à émettre sur le comportement futur de l'appelant soit nécessairement défavorable. Contrairement à ce qu'a retenu le premier juge, l'appelant n'a pas été condamné à des peines égales ou supérieures à 6 mois dans les 5 années précédant les faits, la question de l'octroi du sursis ne nécessitant pas la présence de circonstances particulièrement favorables. D'une part, s'il existe bien un antécédent en matière de circulation routière, il n'apparaît pas que les faits incriminés aient été d'une gravité particulière et une absence du permis requis n'a pas été retenue dans la présente affaire. Par ailleurs, le second antécédent lié à un contexte conjugal en rapport auquel la situation a certainement évolué, ne permet pas non plus de retenir comme inéluctable la commission de nouvelles infractions. L'appelant a démontré par le passé savoir évoluer, à tout le moins partiellement. Dans ce contexte, la condamnation à une peine privative de liberté d'un an, même assortie du sursis, apparaît comme fortement dissuasive par rapport à une hypothétique réitération, ce d'autant plus qu'une révocation du sursis accordé le 9 décembre 2013, à prendre en compte dans l'appréciation de l'octroi du sursis à la nouvelle peine, permettra également à l'intéressé de mieux prendre conscience des effets qui y sont liés. En</w:t>
      </w:r>
    </w:p>
    <w:p>
      <w:r>
        <w:t>- 15/18 - P/8634/2016 considération de ce qui précède, le pronostic n'étant ainsi pas défavorable, mais tout au plus incertain, cela conduit la CPAR à admettre l'appel sur ce point, le sursis étant accordé et le jugement annulé, un délai d'épreuve de quatre ans constituant une cautèle supplémentaire en vue d'éviter la récidive.</w:t>
      </w:r>
    </w:p>
    <w:p>
      <w:r>
        <w:rPr>
          <w:b/>
        </w:rPr>
        <w:t>E. 4.1</w:t>
      </w:r>
    </w:p>
    <w:p>
      <w:r>
        <w:t>Selon les art. 426 al. 1 et 428 al. 1 CPP, les frais de la procédure de première instance et d'appel sont mis à la charge des parties dans la mesure où elles succombent. L'art. 428 al. 3 CPP prévoit que si l'autorité de recours rend elle-même une nouvelle décision, elle se prononce également sur les frais fixés par l'autorité inférieure. Pour déterminer si une partie succombe ou obtient gain de cause, il faut examiner dans quelle mesure ses conclusions sont admises en deuxième instance (arrêts du Tribunal fédéral 6B_620/2016 du 17 mai 2017 consid. 2.1.1; 6B_136/2016 du 23 janvier 2017 consid. 4.1.2).</w:t>
      </w:r>
    </w:p>
    <w:p>
      <w:r>
        <w:rPr>
          <w:b/>
        </w:rPr>
        <w:t>E. 4.2</w:t>
      </w:r>
    </w:p>
    <w:p>
      <w:r>
        <w:t>En première instance, l'appelant avait plaidé son acquittement uniquement et succombé de sorte qu'il convient de confirmer la répartition des frais de première instance. Il obtient gain de cause pour moitié de ses conclusions en procédure d'appel, qui seront dès lors mis à sa charge par moitié, lesquels comprennent un émolument de CHF 2'000.- (art. 426 al.1 CPP et art. 14 al. 1 let. e du Règlement fixant le tarif des frais en matière pénale [RTFMP - E 4 10.03]).</w:t>
      </w:r>
    </w:p>
    <w:p>
      <w:r>
        <w:rPr>
          <w:b/>
        </w:rPr>
        <w:t>E. 5</w:t>
      </w:r>
    </w:p>
    <w:p>
      <w:r>
        <w:t>L'état de frais déposé par Me B______ apparaît globalement conforme aux principes applicables en matière de défense d'office. Un total de 4 heures et 30 minutes est retenu, plus le forfait de 20% et la TVA, 'indemnité accordée pour la défense d'office sera ainsi arrêtée à CHF 904.70.</w:t>
      </w:r>
    </w:p>
    <w:p>
      <w:r>
        <w:t>* * * * *</w:t>
      </w:r>
    </w:p>
    <w:p>
      <w:r>
        <w:t>- 16/18 - P/8634/2016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