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AARP/209/2019 vom 27. Juni 2019</w:t>
      </w:r>
    </w:p>
    <w:p>
      <w:r>
        <w:t>GE Cour de justice, 2019-06-27, FR</w:t>
      </w:r>
    </w:p>
    <w:p>
      <w:r>
        <w:rPr>
          <w:b/>
        </w:rPr>
        <w:t xml:space="preserve">Quelle: </w:t>
      </w:r>
      <w:r>
        <w:t>https://mcp.opencaselaw.ch/entscheid/ge_gerichte_AARP_209_2019</w:t>
      </w:r>
    </w:p>
    <w:p>
      <w:r>
        <w:t>FR: GE_GERICHTE AARP/209/2019 du 27 juin 2019</w:t>
      </w:r>
    </w:p>
    <w:p>
      <w:r>
        <w:t>IT: GE_GERICHTE AARP/209/2019 del 27 giugno 2019</w:t>
      </w:r>
    </w:p>
    <w:p>
      <w:pPr>
        <w:pStyle w:val="Heading2"/>
      </w:pPr>
      <w:r>
        <w:t>Erwägungen</w:t>
      </w:r>
    </w:p>
    <w:p>
      <w:r>
        <w:rPr>
          <w:b/>
        </w:rPr>
        <w:t>E. 32</w:t>
      </w:r>
    </w:p>
    <w:p>
      <w:r>
        <w:t>jours ;</w:t>
      </w:r>
    </w:p>
    <w:p>
      <w:r>
        <w:t>- 7/17 - P/3681/2018  le 20 juin 2017, à une peine privative de liberté de 4 mois pour infractions aux art. 115 al. 1 let. a et b LEI et 19 al. 1 LStup. E. Me B______, défenseur d'office de A______, dépose un état de frais pour la procédure d'appel, comptabilisant, sous des libellés divers, 18h d'activité dont le détail sera repris infra dans la mesure nécessaire à la taxation. EN DROIT : 1. 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 2. 2.1. L'énumération des cas dans lesquels la juridiction d'appel peut traiter un appel en procédure écrite est exhaustive. Dès qu'une question de fait est litigieuse, hypothèse qui est généralement réalisée lorsque le recourant conclut à son acquittement, il y a lieu d'ordonner des débats, sauf accord contraire des parties (ATF 139 IV 290 consid. 1 p. 291 ss, paru in SJ 2014 I p. 168 ; arrêt du Tribunal fédéral 6B_510/2014 du 9 janvier 2015 consid. 1.2). L'art. 406 al. 2 CPP n'exige pas l'accord exprès des parties pour ordonner la procédure écrite. L'accord peut aussi être tacite. La partie renonce à des débats oraux si, à la suite d'une décision de l'autorité d'appel par laquelle celle-ci indique que des débats oraux ne seront tenus que sur demande des parties et qu'une absence de réponse sera interprétée comme un accord donné pour la procédure écrite, elle procède sans réserve par écrit (ATF 143 IV 483 consid. 2). 2.2. L'appelant fait grief à la CPAR d'avoir conditionné l'octroi de l'assistance juridique à son accord du traitement de l'appel par la voie de la procédure écrite. Il n'en est rien et il se méprend sur les intentions de la CPAR. Me B______ ne pouvait que comprendre, tant de l'appel passé au greffe de la CPAR par son stagiaire que des deux ordonnances rendues les 6 puis 18 mars 2019 que la cause ne présentait aucune difficulté particulière pour l'appelant dans la mesure où il viendrait s'exprimer en audience orale, ce qu'il pouvait faire seul, mais qu'au contraire, dans le cas d'une procédure écrite, son conseil relevant précisément qu'il ne savait ni lire ni écrire le français, on ne pouvait attendre de sa part qu'il élabore un mémoire d'appel. L'appelant n'a pas recouru contre l'ordonnance de refus de nomination d'office de la CPAR et il demeurait libre de solliciter des débats oraux. Pour le compte de son client, il a indiqué ne pas s'opposer à la procédure écrite. Aussi, il ne saurait lui être donné acte d'avoir subi une quelconque pression de la part de la CPAR.</w:t>
      </w:r>
    </w:p>
    <w:p>
      <w:r>
        <w:t>- 8/17 - P/3681/2018 3. 3.1.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arrêt du Tribunal fédéral 6B_804/2017 du 23 mai 2018 consid. 2.2.3.1 destiné à la publication).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Le doute doit profiter au prévenu (cf. ATF 143 IV 500 consid. 1.1 p. 503 ; arrêt du Tribunal fédéral 6B_377/2018 du 22 août 2018 consid. 1.1).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 arrêt du Tribunal fédéral 6B_404/2018 du 19 juillet 2018 consid. 1.2) ou encore lorsque le juge condamne le prévenu au seul motif que sa culpabilité est plus vraisemblable que son innocence (arrêts du Tribunal fédéral 6B_1145/2014 du 26 novembre 2015 consid. 1.2 ; 6B_748/2009 du 2 novembre 2009 consid. 2.1).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 arrêts du Tribunal fédéral 6B_634/2018 du 22 août 2018 consid. 2.1 et 6B_1306/2017 du 17 mai 2018 consid. 2.1.1; ATF 144 IV 345, consid. 2.2.3.3). 3.2.1. A teneur de l'art. 115 al. 1 LEI, sera puni d'une peine privative de liberté d'un an au plus ou d'une peine pécuniaire, quiconque contrevient aux dispositions sur l'entrée en Suisse prévues à l'art. 5 LEI (let. a). 3.2.2 Aux termes de l'art. 5 LEI, tout étranger doit, pour entrer en Suisse, remplir les conditions suivantes : avoir une pièce de légitimation reconnue pour le passage de la</w:t>
      </w:r>
    </w:p>
    <w:p>
      <w:r>
        <w:t>- 9/17 - P/3681/2018 frontière et être muni d'un visa si ce dernier est requis (let. a), disposer des moyens financiers nécessaires à son séjour (let. b), ne représenter aucune menace pour la sécurité et l'ordre publics ni pour les relations internationales de la Suisse (let. c) et ne faire l'objet d'aucune mesure d'éloignement (let. d). Ces prescriptions sont cumulatives (AARP/323/2017 du 9 octobre 2017 c. 3.3.2 et 3.3.3). 3.3. L'appelant, originaire de Guinée, reconnait être venu à Genève, en provenance de France, le 22 février 2018, sans être au bénéfice des autorisations nécessaires et démuni de papiers d'identité. Ce comportement et sa qualification d'entrée illégale au sens de l'art. 115 al. 1 let. a LEI, ne sont pas contestés, seule l'absence d'intention délictueuse étant – à demi-mots – plaidée. Comme relevé à juste titre par le premier juge, l'appelant ne saurait être suivi lorsqu'il soutient qu'il aurait ignoré ne pas avoir le droit de se rendre en Suisse dans la mesure où il a été condamné par le passé à quatre reprises pour des infractions à la LEI. Entendu par le TAPEM en lien avec sa libération conditionnelle de juillet 2017, il a clairement indiqué avoir bien compris qu'il n'avait pas le droit de venir en Suisse, fût-ce pour y recevoir des soins. L'appelant a ensuite donné deux versions sur la prétendue raison de sa présence en Suisse, pour rappel sur la plaine de Plainpalais après minuit, à savoir la recherche d'un emploi, puis la remise à un inconnu, ami de l'ami chez lequel il loge à C______, puis un ami, selon des déclarations ayant évolué sur ce point également, sur le départ pour l'Afrique le lendemain à 6h00, des espèces retrouvées en sa possession, charge à lui de les remettre à ses enfants au pays. C'est à cet égard bien maladroitement qu'il fait grief à la police de ne pas l'avoir interrogé la nuit de son interpellation, ses déclarations, qu'il a signées, comportant en effet en particulier l'information qu'il aurait gagné lesdites espèces à des jeux de hasard électroniques dans des établissements publics. En tout état, quelle que soit la raison de sa présence à Genève en pleine nuit, elle contrevenait à la LEI, ce qu'il savait pertinemment. Ainsi sa condamnation à l'art. 115 al. 1 let. a LEI sera confirmée et son appel rejeté sur ce point. 4.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w:t>
      </w:r>
    </w:p>
    <w:p>
      <w:r>
        <w:t>- 10/17 - P/3681/2018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coonsid. 3.1 ; 6B_1428/2016 du 3 octobre 2017 consid. 4.1 ; 6B_326/2016 du 22 mars 2017 consid. 4.1).</w:t>
      </w:r>
    </w:p>
    <w:p>
      <w:r>
        <w:t>4.1.2.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4ème éd., Bâle 2019,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4.1.3. Le juge atténue la peine si l’auteur a agi en cédant à un mobile honorable (art. 48 let. a ch. 1 CP). Le caractère honorable des mobiles s'apprécie d'après l'échelle des valeurs éthiques reconnues par la collectivité dans son ensemble. Pour être qualifié d'honorable, il ne suffit pas que le mobile ne soit pas critiquable sur le plan moral, il faut encore qu'il se situe dans la partie supérieure des valeurs éthiques. De toute façon, le mobile honorable n'est qu'un des éléments subjectifs de l'infraction ; dans l'appréciation de la peine, il peut être rejeté complètement dans l'ombre par les autres circonstances de l'infraction comme, notamment, la manière dont celle-ci a été commise, le but visé</w:t>
      </w:r>
    </w:p>
    <w:p>
      <w:r>
        <w:t>- 11/17 - P/3681/2018 ou la perversité particulière (arrêt du Tribunal fédéral 6B_713/2018 du 21 novembre 2018 consid. 5.4 et la référence citée).</w:t>
      </w:r>
    </w:p>
    <w:p>
      <w:r>
        <w:t>4.1.4. Aux termes de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4.1.5. La Directive sur le retour a pour but de mettre en place une politique efficace d'éloignement et de rapatriement afin que les personnes concernées soient rapatriées de façon humaine et dans le respect intégral de leurs droits fondamentaux ainsi que de leur dignité. Selon le Tribunal fédéral, l'étranger qui séjourne en France depuis quelques années et n'est pas poursuivi du chef de séjour illégal en Suisse, au sens de l'art. 115 al. 1 let. b, mais uniquement pour entrée illégale (let. a), est soustrait à l'application de la Directive européenne (arrêts du Tribunal fédéral 6B_1061/2016 du 19 juillet 2017 consid. 2.2, confirmant l'AARP/307/2016 du 4 août 2016 consid. 2.3 ; 1B_162/2015 du 1er juillet 2015 consid. 2.3 ; AARP/166/2017 du 17 mai 2017 consid. 2.2.3 ; ACPR/173/2015 du 23 mars 2015 consid. 3.4 in medio, qui différencie deux motifs distincts justifiant la non applicabilité de la Directive sur le retour, dont l'absence de séjour irrégulier). 4.1.6. Selon l'art. 42 al. 1 CP, le juge suspend en règle générale l'exécution d'une peine pécuniaire ou d'une privative de liberté de deux ans au plus lorsqu'une peine ferme ne paraît pas nécessaire pour détourner l'auteur d'autres crimes ou délits. 4.1.7. Si, durant le délai d'épreuve, le détenu libéré conditionnellement commet un crime ou un délit, le juge qui connaît de la nouvelle infraction ordonne sa réintégration dans l'établissement (art. 89 al. 1 CP). La raison principale de l'échec de la mise à l'épreuve est la commission d'un crime ou d'un délit pendant le délai d'épreuve (cf. aussi art. 95 al. 3 à 5 CP). La nouvelle infraction doit revêtir une certaine gravité, à savoir être passible d'une peine privative de liberté ou d'une peine pécuniaire (cf. art. 10 CP). En revanche, la perpétration d'une seule contravention ne permet pas la réintégration, à moins qu'elle ne corresponde simultanément à la violation d'une règle de conduite (art. 95 al. 5 CP ; cf. ATF 128 IV 3 consid. 4b p. 8 à propos de la révocation du sursis). La quotité de la peine qui frappe le crime ou le délit dans le cas concret est sans pertinence (arrêt du Tribunal fédéral 6B_663/2009 du 19 octobre 2009 consid. 1.2). Le nouveau droit a en effet abandonné la règle selon laquelle le détenu libéré conditionnellement était obligatoirement réintégré en cas de condamnation à une peine privative de liberté ferme de plus de trois mois (art. 38 ch. 4 aCP). En particulier, le Tribunal fédéral a rejeté le grief d'un recourant qui estimait que la nouvelle infraction qu'il avait commise dans le délai d'épreuve de sa libération conditionnelle, à savoir un séjour illégal, n'était pas d'une gravité suffisante pour</w:t>
      </w:r>
    </w:p>
    <w:p>
      <w:r>
        <w:t>- 12/17 - P/3681/2018 justifier sa réintégration, dans la mesure où il s'agissait d'un délit (art. 10 al. 3 CP) passible d'une peine privative de liberté d'un an au plus ou d'une peine pécuniaire (arrêt du Tribunal fédéral 6B_715/2015 du 21 mars 2016 consid. 2.5 ; cf. AARP/261/2015 du 5 juin 2015). 4.2. La faute de l'appelant n'est pas négligeable. Nonobstant quatre condamnations, en particulier pour violation de la LEI, il est revenu en Suisse en février 2018 pour des raisons qui demeureront inconnues, la recherche d'un emploi à près de minuit, sans un quelconque document d'identité, s'avérant peu probable tout comme la remise d'espèces, notamment des francs suisses à un inconnu supposé partir quelques heures plus tard en Guinée dans le but de les remettre aux enfants de l'appelant. Dans la mesure où la CPAR ne retient pas comme mobile de sa venue en Suisse cette seconde explication de l'appelant, il ne saurait être mis au bénéfice de la circonstance atténuante de l'art. 48 let. a ch. 1 CP. En tout état, cette raison ne constituerait nullement un mobile honorable, étant relevé que d'autres moyens, tels via des organismes financiers, existent notoirement pour envoyer des devises vers l'étranger, dont l'Afrique. L'appelant avait ainsi toute liberté d'agir autrement. Il ne fait manifestement aucun cas des décisions judicaires rendues à son encontre. Il n'a pas su saisir la chance qui lui était donnée, en particulier par l'octroi de deux libérations conditionnelles, en 2015 puis en été 2017, récidivant au contraire dans le délai d'épreuve de la seconde, soit quelques mois seulement après sa dernière sortie de prison. Sa collaboration à la procédure a été médiocre consistant, en appel y compris, malgré l'évidence, à contester les faits, alors même que son attention avait expressément été attirée en particulier par le juge de la libération conditionnelle en juillet 2017 sur son statut illégal en Suisse et les conséquences d'une récidive. Sa prise de conscience est dans ces conditions nulle. La peine pécuniaire infligée en janvier 2013 n’a eu aucun effet dissuasif, pas plus d'ailleurs que les trois peines privatives de liberté subséquentes. Le pronostic se présente sous un jour clairement défavorable, ce qui exclut le prononcé du sursis. Pour des motifs de prévention spéciale, seule une peine privative de liberté entre en ligne de compte, la problématique de l'application de la Directive sur le retour ne se posant pas dans le cas d'espèce où il est reproché à l'appelant uniquement une entrée illégale en Suisse, étant rappelé qu'il a de manière constante déclaré séjourner en France, à C______. Vu la récidive dans le délai d'épreuve, ne pouvant être considérée comme de peu de gravité au vu de la jurisprudence rappelée supra, c'est à juste titre que le premier juge</w:t>
      </w:r>
    </w:p>
    <w:p>
      <w:r>
        <w:t>- 13/17 - P/3681/2018 a ordonné la révocation de la libération conditionnelle du 10 juillet 2017 et prononcé une peine privative d'ensemble de deux mois (art. 89 al. 6 CP), laquelle s'avère adéquate et conforme aux éléments de la procédure, même clémente, de sorte qu'elle sera confirmée faute d'appel joint du MP (art. 391 al. 2 CPP). 5. 5.1. Selon l'art. 263 al. 1 let. b CPP, des objets et des valeurs patrimoniales appartenant au prévenu ou à des tiers peuvent être mis sous séquestre notamment lorsqu'il est probable qu'ils seront utilisés pour garantir le paiement des frais de procédure, des peines pécuniaires, des amendes et des indemnités. L'art. 268 al. 1 CPP permet le séquestre du patrimoine d'un prévenu dans la mesure qui paraît nécessaire pour couvrir les frais de procédure et les indemnités à verser (let. a), les peines pécuniaires et les amendes (let. b). Le séquestre en couverture des frais impose de prendre en compte le revenu et la fortune du prévenu (art. 268 al. 2 CPP) et d'exclure du séquestre les valeurs insaisissables selon les art. 92 à 94 de la loi fédérale du 11 avril 1889 sur la poursuite pour dettes et la faillite (LP ou loi sur la poursuite – RS 281.1 ; art. 268 al. 3 CPP). Un tel examen s'impose car cette mesure tend exclusivement à la sauvegarde des intérêts publics, donc à garantir le recouvrement de la future dette de droit public du prévenu. Elle peut, de plus, porter sur tous les biens et valeurs du prévenu, même ceux qui n'ont pas de lien de connexité avec l'infraction. Il se justifie donc, sous l'angle du principe de proportionnalité (art. 197 al. 1 let. c et d CPP), de respecter le minimum vital de la personne touchée par ce type de séquestre (ATF 141 IV 360 consid. 3.1 p. 363 ; arrêt du Tribunal fédéral 6B_548/2018 du 18 juillet 2018 consid. 2.1). Le respect du minimum vital est aussi la conséquence du droit fondamental à des conditions minimales d'existence ancré à l'art. 12 Cst., lequel garantit la couverture des besoins élémentaires pour survivre d'une manière conforme aux exigences de la dignité humaine, tels que la nourriture, le logement, l'habillement et les soins médicaux de base (ATF 139 I 272 consid. 3.2 p. 276 ; ATF 141 IV 360 consid. 3.1 p. 363). L'utilisation des valeurs patrimoniales séquestrées pour couvrir les frais doit être ordonnée dans la décision finale (arrêts du Tribunal fédéral 6B_548/2018 du 18 juillet 2018 consid. 2.1 ; 6B_998/2017 du 20 avril 2018 consid. 7.1). 5.2. L'appelant réclame la restitution des CHF 290.- et EUR 205.- saisis sur sa personne le 22 février 2018. A retenir sa version, ces espèces devaient partir en Guinée, en faveur de ses enfants, de sorte qu'elles ne devaient pas servir à assurer son minimum vital, étant relevé qu'il n'a pas allégué ni a fortiori étayé être débirentier d'une quelconque contribution. Par suite, leur affectation au paiement des frais de la procédure pouvait intervenir, de sorte que le jugement de première instance sera confirmé sur ce point également. 6. L'appelant, qui succombe, supportera les frais de la procédure envers l'État comprenant un émolument de CHF 2'000.- (art. 428 CPP et 14 al. 1 let. e du Règlement fixant le tarif des frais en matière pénale, E 4 10.03).</w:t>
      </w:r>
    </w:p>
    <w:p>
      <w:r>
        <w:t>- 14/17 - P/3681/2018 7. Pour cette même raison, aucune indemnité ne saurait lui être accordée pour ses frais de défense en première instance (art. 429 al. 1 CP a contrario). 8. 8.1.1. 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débours de l'étude inclus de CHF 110.- pour l'avocat stagiaire (let. a).</w:t>
      </w:r>
    </w:p>
    <w:p>
      <w:r>
        <w:t>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Il est en particulier exigé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Il ne saurait être question d'indemniser toutes les démarches souhaitables ou envisageables, le mandataire d'office devant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8.1.2.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d'actes procéduraux simples,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Ainsi, les communications et courriers divers sont en principe inclus dans le forfait (AARP/182/2016 du 3 mai 2016 consid. 3.2.2 ; AARP/501/2013 du 28 octobre 2013) de même que d'autres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r>
        <w:t>- 15/17 - P/3681/2018</w:t>
      </w:r>
    </w:p>
    <w:p>
      <w:r>
        <w:t>8.2. En l'occurrence, seront retranchées en application de ces principes de la note de frais et honoraires de Me B______ :  2h consacrées à la "déclaration d'appel", entrant dans le forfait pour activités diverses ;  10h des quatre postes "Rédaction appel motivé", 6h s'avérant amplement suffisantes pour exposer les arguments pertinents dans cette procédure dénuée de toute complexité et censée maîtrisée pour avoir été plaidée en première instance moins de quatre mois plus tôt.</w:t>
      </w:r>
    </w:p>
    <w:p>
      <w:r>
        <w:t>En conclusion, l'indemnité sera arrêtée à CHF 853.- correspondant à 6h d'activité au tarif de CHF 110.-/heure (CHF 660.-) plus la majoration forfaitaire de 20% (CHF 132.-) et l'équivalent de la TVA au taux de 7.7% en CHF 61.-. * * * * *</w:t>
      </w:r>
    </w:p>
    <w:p>
      <w:r>
        <w:t>- 16/17 - P/3681/2018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