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AARP/209/2016 vom 23. Mai 2016</w:t>
      </w:r>
    </w:p>
    <w:p>
      <w:r>
        <w:t>GE Cour de justice, 2016-05-23, FR</w:t>
      </w:r>
    </w:p>
    <w:p>
      <w:r>
        <w:rPr>
          <w:b/>
        </w:rPr>
        <w:t xml:space="preserve">Quelle: </w:t>
      </w:r>
      <w:r>
        <w:t>https://mcp.opencaselaw.ch/entscheid/ge_gerichte_AARP_209_2016</w:t>
      </w:r>
    </w:p>
    <w:p>
      <w:r>
        <w:t>FR: GE_GERICHTE AARP/209/2016 du 23 mai 2016</w:t>
      </w:r>
    </w:p>
    <w:p>
      <w:r>
        <w:t>IT: GE_GERICHTE AARP/209/2016 del 23 maggio 2016</w:t>
      </w:r>
    </w:p>
    <w:p>
      <w:pPr>
        <w:pStyle w:val="Heading2"/>
      </w:pPr>
      <w:r>
        <w:t>Erwägungen</w:t>
      </w:r>
    </w:p>
    <w:p>
      <w:r>
        <w:rPr>
          <w:b/>
        </w:rPr>
        <w:t>E. 1</w:t>
      </w:r>
    </w:p>
    <w:p>
      <w:r>
        <w:t>L'appel est recevable pour avoir été interjeté et motivé selon la forme et dans les délais prescrits (art. 398 et 399 CPP). Il en va de même de l'appel joint (art. 400 al. 3 let. b et 401 CPP).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 La Chambre limite son examen aux violations décrites dans l'acte d'appel (art. 404 al. 1 CPP), sauf en cas de décisions illégales ou inéquitables (art. 404 al. 2 CPP).</w:t>
      </w:r>
    </w:p>
    <w:p>
      <w:r>
        <w:rPr>
          <w:b/>
        </w:rPr>
        <w:t>E. 2</w:t>
      </w:r>
    </w:p>
    <w:p>
      <w:r>
        <w:t>L'appelant principal ne conteste pas sa culpabilité pour l'ensemble des faits qui lui sont reprochés, sinon pour la durée du séjour illégal. Le verdict de culpabilité sera ainsi confirmé dans la mesure où ses actes sont constitutifs des infractions reprochées.</w:t>
      </w:r>
    </w:p>
    <w:p>
      <w:r>
        <w:rPr>
          <w:b/>
        </w:rPr>
        <w:t>E. 3</w:t>
      </w:r>
    </w:p>
    <w:p>
      <w:r>
        <w:t>L'appelant principal reproche au premier juge le prononcé d'une peine excessive, au contraire de l'appelant joint qui la juge trop clémente.</w:t>
      </w:r>
    </w:p>
    <w:p>
      <w:r>
        <w:rPr>
          <w:b/>
        </w:rPr>
        <w:t>E. 3.1</w:t>
      </w:r>
    </w:p>
    <w:p>
      <w:r>
        <w:t>Selon l'art. 47 du code pénal,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- 8/19 - P/16242/2015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t>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 (ATF 121 IV 202 consid. 2d/aa p. 204 ; 118 IV 342 consid. 2d p. 349).</w:t>
      </w:r>
    </w:p>
    <w:p>
      <w:r>
        <w:t>Bien que la récidive ne constitue plus un motif d'aggravation obligatoire de la peine (art. 67 aCP), les antécédents continuent de jouer un rôle très important dans la fixation de celle-ci (M. NIGGLI / H. WIPRÄCHTIGER, Basler Kommentar Strafrecht I : Art. 1-110 StGB, Jugendstrafgesetz, 2e éd., Bâle 2007, n. 100 ad art. 47 CP). En général, la culpabilité de l'auteur est amplifiée du fait qu'il n'a pas tenu compte de l'avertissement constitué par la précédente condamnation, et sa rechute témoigne d'une énergie criminelle accrue (R. ROTH / L. MOREILLON (éds), Code pénal I : art. 1-100 CP,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w:t>
      </w:r>
    </w:p>
    <w:p>
      <w:r>
        <w:t>D'après l'art. 49 al. 1 CP, si, en raison d'un ou de plusieurs actes, l'auteur remplit les conditions de plusieurs peines de même genre, le juge le condamne à la peine de l'infraction la plus grave et l'augmente dans une juste proportion.</w:t>
      </w:r>
    </w:p>
    <w:p>
      <w:r>
        <w:t>- 9/19 - P/16242/2015</w:t>
      </w:r>
    </w:p>
    <w:p>
      <w:r>
        <w:rPr>
          <w:b/>
        </w:rPr>
        <w:t>E. 3.2</w:t>
      </w:r>
    </w:p>
    <w:p>
      <w:r>
        <w:t>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 un simple passeur sera ainsi moins coupable que celui qui joue un rôle décisif dans la mise sur p ied des opérations et qui participe de manière importante au bénéfice illicite (ATF 121 IV 202 consid. 2d/cc p. 206). L'étendue du trafic entrera également en considération. Un trafic purement local sera en règle générale considéré comme moins grave qu'un trafic avec des ramifications internationales. Enfin, le nombre d'opérations constitue un indice pour mesurer l'intensité du comportement délictueux.</w:t>
      </w:r>
    </w:p>
    <w:p>
      <w:r>
        <w:t>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w:t>
      </w:r>
    </w:p>
    <w:p>
      <w:r>
        <w:t>3.3.1 Selon l'art. 46 CP, si, durant le délai d'épreuve, le condamné commet un crime ou un délit et qu'il y a dès lors lieu de prévoir qu'il commettra de nouvelles infractions, le juge révoque le sursis ou le sursis partiel (alinéa 1, première phrase). S'il n'y a pas lieu de prévoir que le condamné commettra de nouvelles infractions, le juge renonce à ordonner la révocation (alinéa 2, première phrase).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 142 ss ; arrêt du Tribunal fédéral 6B_1165/2013 du 1er mai 2014 consid. 2.1). Par analogie avec l'art. 42 al. 1 et 2 CP, le juge se fonde sur une appréciation globale des circonstances du cas d'espèce pour estimer le risque de</w:t>
      </w:r>
    </w:p>
    <w:p>
      <w:r>
        <w:t>- 10/19 - P/16242/2015 récidive (ATF 134 IV 140 consid. 4.4 p. 143 ; arrêt du Tribunal fédéral 6B_1165/2013 précité).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p. 144 ; arrêt du Tribunal fédéral 6B_1165/2013 précité consid. 2.2).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de soi que le juge doit motiver sa décision sur ce point, de manière à ce que l'intéressé puisse au besoin la contester utilement et l'autorité de recours exercer son contrôle (arrêt du Tribunal fédéral 6B_1165/2013 précité consid. 2.2). 3.3.2 S'il révoque le sursis, le juge peut modifier le genre de la peine révoquée pour fixer, avec la nouvelle peine, une peine d'ensemble conformément à l'art. 49 CP. Il ne peut toutefois prononcer une peine privative de liberté ferme que si la peine d'ensemble atteint une durée de 6 mois au moins ou si les conditions prévues à l'art. 41 CP sont remplies (cf. art. 46 al. 1 CP). La fixation d'une peine d'ensemble n'entre pas en considération si la peine assortie du sursis révoqué et celle nouvellement prononcée sont du même genre (ATF 134 IV 241 consid. 4 p. 242 ss). La procédure de l'art. 46 al. 1 2ème phrase CP n'est toutefois pas applicable pour commuer une peine antérieure en une sanction plus sévère. Il est ainsi contraire au droit fédéral de modifier une peine pécuniaire antérieure en une peine privative de liberté pour condamner l'auteur à une peine privative de liberté d'ensemble (ATF 137 IV 249 consid. 3.4.3. p. 254 in JdT 2012 IV 205).</w:t>
      </w:r>
    </w:p>
    <w:p>
      <w:r>
        <w:t>- 11/19 - P/16242/2015 3.3.3 Si, durant le délai d'épreuve, le détenu libéré conditionnellement commet un crime ou un délit, le juge qui connaît de la nouvelle infraction ordonne sa réintégration dans l'établissement (art. 89 al. 1 CP).</w:t>
      </w:r>
    </w:p>
    <w:p>
      <w:r>
        <w:t>La raison principale de l'échec de la mise à l'épreuve est la commission d'un crime ou d'un délit pendant le délai d'épreuve (cf. aussi art. 95 al. 3 à 5 CP). La nouvelle infraction doit revêtir une certaine gravité, à savoir être passible d'une peine privative de liberté ou d'une peine pécuniaire (cf. art. 10 CP). La quotité de la peine qui frappe le crime ou le délit dans le cas concret est sans pertinence (arrêt du Tribunal fédéral 6B_663/2009 du 19 octobre 2009 consid. 1.2).</w:t>
      </w:r>
    </w:p>
    <w:p>
      <w:r>
        <w:t>Selon l'article 89 al. 2 CP, le juge peut renoncer à réintégrer dans l'établissement de détention le détenu libéré conditionnellement ayant commis un nouveau crime ou délit, s'il n'y a pas lieu de craindre que celui-ci commette d'autres infractions.</w:t>
      </w:r>
    </w:p>
    <w:p>
      <w:r>
        <w:t>Selon le Message concernant la modification du Code pénal suisse (dispositions générales, entrée en vigueur et application du Code pénal) et du Code pénal militaire ainsi qu'une loi régissant la condition pénale des mineurs du 21 septembre 1998 ; FF 1998 1787), l'échec de la mise à l'épreuve au sens de l'article 89 al. 2 CP suppose la commission d'un crime ou d'un délit, laissant présager que le détenu libéré conditionnellement ne s'en tiendrait pas là. Un tribunal devait décider de la réintégration en procédant à une « projection comportementale dans l'avenir », excluant une « infraction accidentelle » comme indice d'échec (FF 1998 1929).</w:t>
      </w:r>
    </w:p>
    <w:p>
      <w:r>
        <w:t>Pour la doctrine, la commission d'un nouveau crime ou d'un nouveau délit ne constitue qu'un des facteurs à considérer, le pronostic quant à la capacité de l'intéressé à vivre de manière conforme à la loi dans le futur devant à nouveau être établi (G. STRATENWERTH, Schweizerisches Strafrecht, Allgemeiner Teil II, 2e éd., Berne 2006, § 5 n. 95 p. 164). Il en va de même des auteurs du Commentaire bâlois (M. NIGGLI / H. WIPRÄCHTIGER, Basler Kommentar Strafrecht I : Art. 1-110 StGB, Jugendstrafgesetz, 2e éd., Bâle 2007, n. 3 ad art. 89) qui attendent du juge un pronostic quant à la signification des crimes ou des délits commis pendant le délai d'épreuve, fondé sur la notion de prévention spéciale qui prévaut en matière de libération conditionnelle.</w:t>
      </w:r>
    </w:p>
    <w:p>
      <w:r>
        <w:t>Par sa nature même, le pronostic à émettre ne saurait être tout à fait sûr ; il doit suffire de pouvoir raisonnablement conjecturer que le détenu ne commettra pas de nouvelles infractions (arrêt du Tribunal fédéral 6B_1034/2013 du 31 mars 2014 consid. 2.1 ; ATF 98 Ib 106 consid. 1b p. 107). Pour émettre son pronostic, le juge doit se livrer à une appréciation d'ensemble de tous les éléments pertinents. Outre les faits relatifs à la nouvelle infraction, il doit tenir compte du passé et de la réputation de l'accusé ainsi que de tous les éléments qui donnent des indices sur le caractère de l'auteur et sur ses perspectives de resocialisation. Pour apprécier le risque de récidive, il est indispensable de se fonder sur une image globale de la</w:t>
      </w:r>
    </w:p>
    <w:p>
      <w:r>
        <w:t>- 12/19 - P/16242/2015 personnalité de l'auteur. Les facteurs déterminants sont ainsi les antécédents pénaux, la biographie sociale, les rapports de travail, l'existence de liens sociaux, les risques d'addiction, etc. Il n'est pas admissible d'accorder un poids particulier à certains critères et d'en négliger d'autres qui sont pertinents. De même qu'en matière de fixation de la peine, la motivation du jugement (art. 50 CP) doit permettre la vérification de la correcte application du droit fédéral. Dans l'émission du pronostic, le juge dispose d'un large pouvoir d'appréciation (arrêts du Tribunal fédéral 6B_1034/2013 du 31 mars 2014 consid. 2.1, 6B_663/2009 du 19 octobre 2009 consid. 1.2 et 6B_303/2007 du 6 décembre 2007 consid. 6).</w:t>
      </w:r>
    </w:p>
    <w:p>
      <w:r>
        <w:t>L'art. 89 al. 6 CP prévoit que si, en raison de la nouvelle infraction, les conditions d'une peine ferme sont réunies et que celle-ci, entre en concours avec le solde de la peine devenu exécutoire à la suite de la révocation, le juge prononce, en vertu de l'art. 49 CP, une peine d'ensemble.</w:t>
      </w:r>
    </w:p>
    <w:p>
      <w:r>
        <w:rPr>
          <w:b/>
        </w:rPr>
        <w:t>E. 3.4</w:t>
      </w:r>
    </w:p>
    <w:p>
      <w:r>
        <w:t>Le repentir sincère visé à l'art. 48 lit. d CP suppose une prise de conscience du caractère répréhensible de l'infraction et un changement d'état d'esprit sincère du délinquant.</w:t>
      </w:r>
    </w:p>
    <w:p>
      <w:r>
        <w:t>Le repentir sincère n'est réalisé que si l'auteur a adopté un comportement particulier, désintéressé et méritoire. (…). Le seul fait qu'un délinquant ait passé des aveux ou manifesté des remords ne suffit pas ; il n'est en effet pas rare que, confronté à des moyens de preuve ou constatant qu'il ne pourra échapper à une sanction, un accusé choisisse de dire la vérité ou d'exprimer des regrets ; un tel comportement n'est pas particulièrement méritoire (ATF 117 IV 112 consid. 1 p. 113 s. ; 116 IV 288 consid. 2a p. 289 s.). En revanche, des aveux impliquant le condamné lui-même et sans lesquels d'autres auteurs n'auraient pu être confondus, exprimés spontanément et maintenus malgré des pressions importantes exercées contre l'intéressé et sa famille, peuvent manifester un repentir sincère (cf. ATF 121 IV 202 consid. 2d/cc p. 206). La bonne collaboration à l'enquête peut, par ailleurs, même lorsqu'elle ne remplit pas les conditions d'un repentir sincère, constituer un élément favorable pour la fixation de la peine dans le cadre ordinaire de l'art. 47 CP.</w:t>
      </w:r>
    </w:p>
    <w:p>
      <w:r>
        <w:rPr>
          <w:b/>
        </w:rPr>
        <w:t>E. 3.5</w:t>
      </w:r>
    </w:p>
    <w:p>
      <w:r>
        <w:t>La confiscation d'objets ou de valeurs patrimoniales ne constitue pas une sanction in personam, mais une mesure réelle (in rem), dont le but premier consiste à éviter le maintien d'un avantage consécutif à un acte pénalement punissable (G. STRATENWERTH, Schweizerisches Strafrecht, AT II, 2e éd., Berne 2006, § 13, n. 86 ; M. VOUILLOZ, "Le nouveau droit suisse de la confiscation pénale et de la créance compensatrice, art. 69 à 73 CP", PJA 2007 p. 1388 et 1391). Dès lors qu'il s'agit d'une mesure qui porte gravement atteinte à la propriété, elle doit respecter le principe de la proportionnalité (ATF 125 IV 185 consid. 2a) p. 187 ; ATF 116 IV 117 consid. 2a) p. 121).</w:t>
      </w:r>
    </w:p>
    <w:p>
      <w:r>
        <w:t>- 13/19 - P/16242/2015 Pour que la confiscation puisse être ordonnée, il faut qu'une infraction ait été commise, que tous les éléments constitutifs objectifs et subjectifs de cette infraction soient établis et que les fonds visés par la confiscation soient le résultat de la commission de cette infraction (ATF 129 IV 81 consid. 4.1 p. 93 ; arrêt du Tribunal fédéral 6S.79/2006 du 24 mai 2006 consid. 3 ; arrêt du Tribunal fédéral 6S.357/2002 du 18 décembre 2002 consid. 4.2). Selon la jurisprudence, il doit exister un rapport de connexité entre l'infraction et les valeurs patrimoniales à confisquer. L'infraction doit ainsi être la cause essentielle et adéquate de l'obtention des valeurs patrimoniales et celles-ci doivent typiquement provenir de l'infraction en question. Il doit donc exister, entre l'infraction et l'obtention des valeurs patrimoniales, un lien de causalité tel que la seconde apparaisse comme la conséquence directe et immédiate de la première (ATF 129 II 453 consid. 4.1 p. 461). C'est en particulier le cas lorsque l'obtention des valeurs patrimoniales est un élément objectif ou subjectif de l'infraction ou lorsqu'elle constitue un avantage direct découlant de la commission de l'infraction (ATF 129 IV 453 consid. 4.1 p. 461 ; arrêt du Tribunal fédéral 1B.185/2007 du 30 novembre 2007 consid. 9 ; arrêt du Tribunal fédéral 6S.324/200 du 6 septembre 2000 consid. 5c/bb ; SJ 1999 p. 417 consid. 2a p. 419). La confiscation intervient indépendamment de l'identification de l'auteur et de la punissabilité d'une personne déterminée (ATF 122 IV 91 consid. 3b p. 94 ; ATF 115 IV 175 consid. 1 p. 177 ; arrêt du Tribunal fédéral 1B.185/2007 du 30 novembre 2007 consid. 9).</w:t>
      </w:r>
    </w:p>
    <w:p>
      <w:r>
        <w:rPr>
          <w:b/>
        </w:rPr>
        <w:t>E. 3.6</w:t>
      </w:r>
    </w:p>
    <w:p>
      <w:r>
        <w:t>L'appelant principal tend à minimiser son implication dans le trafic de stupéfiants reproché. Il oublie de mentionner qu'il n'est pas un néophyte en la matière ainsi qu'en témoignent ses condamnations de 2012 et 2013, celle-là étant particulièrement lourde. Il ne s'est pas contenté de stocker des stupéfiants mais d'assurer leur conditionnement en vue de leur vente, disposant de tout le matériel nécessaire à cet effet. La remise de drogue par un fournisseur, dans des circonstances restées obscures, n'a pu se faire que dans le cadre d'un rapport de confiance et contre paiement, cash ou différé. Il y a ainsi de forts indices que l'argent saisi soit en lien avec le commerce de stupéfiants même s'il est exact que le Ministère public n'a pas établi que l'appelant principal était actif dans le commerce des stupéfiants dans les jours, semaines ou mois ayant précédé son interpellation, sinon de manière modeste comme en atteste la vente reconnue puis niée de deux boulettes de cocaïne. Que l'appelant principal ne soit pas le propriétaire de l'argent saisi ne suffit pas à douter du bien-fondé de la confiscation opérée. Il aurait en tout état été bien peu</w:t>
      </w:r>
    </w:p>
    <w:p>
      <w:r>
        <w:t>- 14/19 - P/16242/2015 vraisemblable que cet argent eût appartenu à l'appelant principal au regard de ses gains professionnels plus que modestes. La manière rocambolesque dont l'argent aurait été confié - l'équivalent de plus de CHF 15'000.- ayant été donné par un inconnu sans motif déclaré -, la diversité des valeurs en monnaies suisse et étrangères, le milieu des stupéfiants dans lequel a évolué l'appelant principal sont autant d'éléments qui confortent la juridiction d'appel dans le fait que cet argent est en tout état de provenance délictueuse, sans qu'il ne soit nécessaire d'opérer une distinction selon le lieu de l'entreposage des fonds saisis. Il en est a fortiori de même de l'argent saisi sur sa personne, le revirement de l'appelant principal ne reposant sur rien de concret, ce qu'il admet lui-même en reconnaissant que la police ne l'a pas maltraité. Au demeurant, ce n'était pas la première fois qu'il se faisait interpeller, de sorte qu'il n'avait pas à éprouver des craintes particulières. Au regard de ce qui précède, la confiscation de toutes les valeurs saisies sera confirmée de la manière dont le premier juge l'a ordonné. L'appelant principal est peu convaincant quand il cherche à prouver que son colocataire ment sur son séjour à Genève en 2014. Le témoignage du colocataire est fiable, sans qu'on puisse lui imputer la volonté de chercher à nuire à l'appelant principal. Aucun contentieux ne les oppose et le témoin n'a pas varié dans ses dépositions, même lors de la confrontation. L'appelant principal n'a pas cherché à contrecarrer les détails fournis sur la répartition des charges entre eux. La quittance pour un mois de loyer au Sénégal à fin 2014-début 2015 ne saurait représenter un obstacle dirimant à la conclusion qui précède. Rien, et en tout cas pas le nom mentionné sur le document, n'établit que ladite quittance concerne l'appelant principal, en plus du fait que celui-ci a pu effectuer un déplacement pour les fêtes de fin d'année sans préjudice de la violation en 2014 de la LEtr. Une telle conclusion irait d'ailleurs de pair avec les observations du colocataire au sujet des "voyages" de l'appelant principal. L'appelant joint souhaiterait que la peine soit fixée à 18 mois. C'est oublier que le Ministère public n'a pas cherché à démontrer que l'appelant principal était impliqué dans un trafic de stupéfiants de grande envergure et qui aurait débuté bien avant son interpellation. Aucun rétroactif téléphonique n'a été ordonné pas plus qu'une analyse du taux de pureté et des caractéristiques chimiques des stupéfiants saisis. Il n'appartient pas au prévenu de prouver que son implication se limite au stockage et à la préparation de boulettes de cocaïne en vue de leur vente. Rien dans le dossier ne permet d'établir une implication plus large, dans le temps et/ou dans la hiérarchie des trafiquants. Certes, des indices allant dans ce sens figurent dans la procédure mais l'accusation n'a pas cherché à l'établir comme cela lui incombait. Dans ces conditions, la peine de 12 mois infligée à l'appelant principal correspond aux critères posés par l'art. 47 CP et la jurisprudence rendue en matière de violation de la LStup. La peine est adéquate en tant qu'elle repose sur un trafic de cocaïne</w:t>
      </w:r>
    </w:p>
    <w:p>
      <w:r>
        <w:t>- 15/19 - P/16242/2015 dont la durée n'a pas dépassé quelques jours et portant sur une quantité limitée. Certes, dans cette hypothèse favorable au prévenu, son implication dénote une intention délictueuse marquée. La peine repose aussi sur des violations de la LEtr beaucoup plus longues et significatives, même en retranchant de la durée du séjour illégal le droit pour un citoyen européen de séjourner en Suisse sans autorisation. Le concours des infractions fonde une aggravation de la peine. Comme facteur à charge figurent encore les antécédents de l'appelant principal, dont deux sont spécifiques en matière de violation de la LStup. La collaboration de l'appelant principal est restée moyenne, sa reconnaissance des faits constitutifs de violation de la LStup pouvant difficilement être mise à son actif au vu du flagrant délit qui n'autorisait guère une autre appréciation. A cet égard, la revendication tenant à la prise en compte de la circonstance atténuante du repentir sincère tient de la galéjade, tant l'appelant principal a cherché à minimiser son rôle au point de traiter le témoin de menteur et d'inventer un sentiment de peur au moment de son passage dans les locaux de la police. Au demeurant, l'appelant principal n'a rien révélé de la personne de son fournisseur ou de celle du propriétaire des fonds qui permette à la police de poursuivre ses investigations. A se référer aux récidives intervenues à bref intervalle, dont deux sont pleinement spécifiques, le pronostic ne peut être que largement défavorable. Rien dans les projets de l'appelant principal – d'ailleurs non étayés - ne permet de tenir pour justifiée une réduction du risque de récidive, tant il est vrai que la situation du prévenu ne sera à l'issue de sa peine de prison guère différente de ce qu'elle était après l'exécution des précédentes peines. La nouvelle peine qui lui est infligée n'est pas en soi suffisamment dissuasive pour que la CPAR puisse se passer de la révocation de la condamnation intervenue en 2013, de la manière dont le premier juge l'a décidé. Aussi celle-là sera-t-elle révoquée, à l'instar de la libération conditionnelle eu égard à la récidive intervenue durant le délai d'épreuve qui témoigne de la trahison de la confiance mise en lui par le TAPEM. Là aussi, le pronostic ne peut être que défavorable. Tant l'appelant principal que l'appelant joint seront ainsi déboutés de leurs conclusions.</w:t>
      </w:r>
    </w:p>
    <w:p>
      <w:r>
        <w:rPr>
          <w:b/>
        </w:rPr>
        <w:t>E. 4</w:t>
      </w:r>
    </w:p>
    <w:p>
      <w:r>
        <w:t>L'appelant principal qui succombe, sinon sur ses conclusions tendant au rejet de l'appel joint, supportera les frais de la procédure envers l'État, à raison de trois quarts (art. 428 CPP), lesquels comprennent un émolument de procédure de CHF 2'500.- (art. 14 al. 1 let. e du Règlement fixant le tarif des frais en matière pénale du 22 décembre 2010 [RTFMP ; E 4 10.03]). L'appelant joint succombe dans la même mesure. Vu sa qualité, le solde des frais de la procédure d'appel sera laissé à la charge de l'Etat.</w:t>
      </w:r>
    </w:p>
    <w:p>
      <w:r>
        <w:t>- 16/19 - P/16242/2015</w:t>
      </w:r>
    </w:p>
    <w:p>
      <w:r>
        <w:rPr>
          <w:b/>
        </w:rPr>
        <w:t>E. 5.1</w:t>
      </w:r>
    </w:p>
    <w:p>
      <w:r>
        <w:t>Les frais imputables à l'assistance juridique pour la défense d'office (art. 135 al. CPP) sont des débours (art. 422 al. 2 let. a CPP) qui constituent des frais de procédure (art. 422 al. 1 CPP) et doivent, conformément à l'art. 421 al. 1 CPP, être fixés par l'autorité pénale dans la décision finale au plus tard (ATF 139 IV 199 consid. 5.1 p. 201-202). La juridiction d'appel est partant compétente, au sens de l'art. 135 al. 2 CPP, pour statuer sur l'activité postérieure à sa saisine.</w:t>
      </w:r>
    </w:p>
    <w:p>
      <w:r>
        <w:t>5.2.1 Selon l'art. 135 al. 1 CPP, le défenseur d'office est indemnisé conformément au tarif des avocats de la Confédération ou du canton du for du procès. S'agissant d'une affaire soumise à la juridiction cantonale genevoise, l'art. 16 du règlement sur l'assistance juridique du 28 juillet 2010 (RAJ ; E 2 05.04) s'applique. Cette dernière disposition prescrit que l'indemnité, en matière pénale, est calculée selon le tarif horaire de CHF 200.- pour un chef d'étude (let. c). En cas d'assujettissement, l'équivalent de la TVA est versé en sus.</w:t>
      </w:r>
    </w:p>
    <w:p>
      <w:r>
        <w:t>5.2.2 À teneur de la jurisprudence, est décisif pour fixer la rémunération de l'avocat, le nombre d'heures nécessaires pour assurer la défense d'office du prévenu (arrêt du Tribunal fédéral 2C_509/2007 du 19 novembre 2007 consid. 4). Les autorités cantonales jouissent d'une importante marge d'appréciation lorsqu'elles fixent, dans la procédure, la rémunération du défenseur d'office (arrêt du Tribunal fédéral 6B_856/2014 du 10 juillet 2015 consid. 2.3 et les références citées).</w:t>
      </w:r>
    </w:p>
    <w:p>
      <w:r>
        <w:t>Le temps consacré à la procédure ne doit être pris en considération que dans la mesure où il apparait raisonnablement nécessaire à l'accomplissement de son mandant par un avocat expérimenté. (…) L'avocat [doit] ainsi veiller au respect du principe de proportionnalité (R. HAUSER / E. SCHWERI / K. HARTMANN, Schweizerisches Strafprozessrecht, 6e éd., Bâle 2005, no 5 ad § 109).</w:t>
      </w:r>
    </w:p>
    <w:p>
      <w:r>
        <w:t>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w:t>
      </w:r>
    </w:p>
    <w:p>
      <w:r>
        <w:t>5.2.3 L'activité qui n'est pas nécessaire à la défense devant les autorités cantonales n'est pas couverte par l'assistance juridique cantonale. Tel est le cas d'entretiens consistant vraisemblablement en un debriefing ou autres démarches postérieures au jugement, en l'absence d'appel, sous réserve de l'examen éventuel de son opportunité. Ainsi, en va-t-il également de l'activité déployée postérieurement au prononcé de l'arrêt en cas d'appel, notamment de celle tendant à évaluer l'opportunité d'un recours au Tribunal fédéral ou à le préparer (AARP/331/2015 du 27 juillet 2015 et autres).</w:t>
      </w:r>
    </w:p>
    <w:p>
      <w:r>
        <w:t>- 17/19 - P/16242/2015 5.2.4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w:t>
      </w:r>
    </w:p>
    <w:p>
      <w:r>
        <w:rPr>
          <w:b/>
        </w:rPr>
        <w:t>E. 5.3</w:t>
      </w:r>
    </w:p>
    <w:p>
      <w:r>
        <w:t>En l'occurrence, considéré dans sa globalité, l'état de frais produit par le défenseur d'office de A______ paraît adéquat et conforme aux principes qui précèdent, sous réserve de la conférence programmée après les débats d'appel qui ne rentre pas dans la couverture de l'assistance juridique, de sorte qu'il n'est pas nécessaire de reprendre le détail des postes qui le composent. Un quart d'heure sera ajouté pour tenir compte de la durée effective de l'audience.</w:t>
      </w:r>
    </w:p>
    <w:p>
      <w:r>
        <w:t>Aussi l'indemnité requise par le défenseur d'office sera-t-elle admise à hauteur de CHF 2'916.-, ce montant correspondant à 11h15 d'activité, y compris la durée de l'audience, au tarif de CHF 200.-/heure [CHF 2'250.-], plus la majoration forfaitaire de 20 % [CHF 450.-] et l'équivalent de la TVA au taux de 8% [CHF 216.-].</w:t>
      </w:r>
    </w:p>
    <w:p>
      <w:r>
        <w:t>******</w:t>
      </w:r>
    </w:p>
    <w:p>
      <w:r>
        <w:t>- 18/19 - P/16242/2015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