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AARP/208/2021 vom 29. Juni 2021</w:t>
      </w:r>
    </w:p>
    <w:p>
      <w:r>
        <w:t>GE Cour de justice, 2021-06-29, FR</w:t>
      </w:r>
    </w:p>
    <w:p>
      <w:r>
        <w:rPr>
          <w:b/>
        </w:rPr>
        <w:t xml:space="preserve">Quelle: </w:t>
      </w:r>
      <w:r>
        <w:t>https://mcp.opencaselaw.ch/entscheid/ge_gerichte_AARP_208_2021</w:t>
      </w:r>
    </w:p>
    <w:p>
      <w:r>
        <w:t>FR: GE_GERICHTE AARP/208/2021 du 29 juin 2021</w:t>
      </w:r>
    </w:p>
    <w:p>
      <w:r>
        <w:t>IT: GE_GERICHTE AARP/208/2021 del 29 giugno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7). La probabilité doit être d'un degré élevé car le dol éventuel ne peut pas être admis à la légère (ATF 133 IV 9 consid. 4.2.5 p. 19 ; arrêt du Tribunal fédéral 6S_127/2007 du</w:t>
      </w:r>
    </w:p>
    <w:p>
      <w:r>
        <w:t>- 7/25 - P/18709/2016</w:t>
      </w:r>
    </w:p>
    <w:p>
      <w:r>
        <w:rPr>
          <w:b/>
        </w:rPr>
        <w:t>E. 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141 IV 132 consid. 3.4.1 p. 142 s.).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p. 65 ; arrêt du Tribunal fédéral 6B_665/2017 du 10 janvier 2018 consid. 1.1). L'acte d'accusation définit l'objet du procès et sert également à informer le prévenu (fonction de délimitation et d'information ; ATF 143 IV 63 consid. 2.2 p. 65; 141 IV 132 consid. 3.4.1 p. 142 s. et les références citées). Des imprécisions relatives au lieu ou à la date sont sans portée, dans la mesure où le prévenu ne peut avoir de doute sur le comportement qui lui est reproché (arrêts du Tribunal fédéral 6B_665/2017 précité consid. 1.1; 6B_275/2016 du 9 décembre 2016 consid. 2.1).</w:t>
      </w:r>
    </w:p>
    <w:p>
      <w:r>
        <w:rPr>
          <w:b/>
        </w:rPr>
        <w:t>E. 2.3</w:t>
      </w:r>
    </w:p>
    <w:p>
      <w:r>
        <w:t>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t>- 8/25 - P/18709/2016</w:t>
      </w:r>
    </w:p>
    <w:p>
      <w:r>
        <w:rPr>
          <w:b/>
        </w:rPr>
        <w:t>E. 2.3.1</w:t>
      </w:r>
    </w:p>
    <w:p>
      <w:r>
        <w:t>Au plan objectif, l'art. 305 bis CP suppose, d'une part, l'existence de valeurs patrimoniales provenant d'un crime, ainsi que, d'autre part, un acte propre à entraver l'identification de l'origine, la découverte ou la confiscation de ces valeurs patrimoniales. Sur le plan subjectif, l'infraction requiert l'intention de l'auteur (arrêt du Tribunal fédéral 6B_1185/2018 du 14 janvier 2019 consid. 2.2).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À cet égard, il suffit que le prévenu ait connaissance de circonstances faisant naître le soupçon pressant de faits constituant légalement un crime et qu’il s’accommode de l’éventualité que ces faits se soient produits.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matière de blanchiment, cela conduit à rechercher si le crime préalable est une condition nécessaire de l'obtention des valeurs patrimoniales (ATF 138 IV 1 consid. 4.2.3.3 p. 9). L'acte d'entrave doit être examiné de cas en cas, en fonction de l'ensemble des circonstances. Il doit être propre à entraver l'accès des autorités de poursuite pénales aux valeurs patrimoniales provenant d'un crime, dans les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 6.1 p. 191 ; arrêt du Tribunal fédéral 6B_729/2010 du 8 décembre 2011 consid. 4.4.2 non publié aux ATF 138 IV 1).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119 IV 242 consid. 1a p. 243). Le prélèvement de valeurs patrimoniales en espèces représente habituellement un acte de blanchiment, puisque les mouvements des avoirs ne peuvent plus être suivis au moyen de documents bancaires (arrêts du Tribunal fédéral 6B_261/2020 du 10 juin 2020 consid. 5.1 ; 6B_900/2009 du 21 octobre 2010 consid. 4.3 non publié in ATF 136 IV 179).</w:t>
      </w:r>
    </w:p>
    <w:p>
      <w:r>
        <w:t>- 9/25 - P/18709/2016</w:t>
      </w:r>
    </w:p>
    <w:p>
      <w:r>
        <w:rPr>
          <w:b/>
        </w:rPr>
        <w:t>E. 2.3.2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ou un délit fiscal qualifié et qu'il s'accommode de l'éventualité que ces faits se soient produits (ATF 122 IV 211 consid. 2e p. 217 ; arrêt du Tribunal fédéral 6B_649/2015 du 4 mai 2016 consid. 2.1).</w:t>
      </w:r>
    </w:p>
    <w:p>
      <w:r>
        <w:rPr>
          <w:b/>
        </w:rPr>
        <w:t>E. 2.3.3</w:t>
      </w:r>
    </w:p>
    <w:p>
      <w:r>
        <w:t>Les autorités fédérales ont régulièrement mené des campagnes d’information et de prévention sur le phénomène appelé « money mule », qui désigne une personne qui accepte, contre une commission, que des sommes soient versées sur son compte avant de les retirer et de les faire parvenir au criminel d’une manière qui ne permette pas de retracer le parcours de l’argent (le plus souvent, par l’entremise de sociétés de transfert de fonds) par la mise à disposition d’un compte bancaire pour des transferts (définition tirée du rapport « Jugements prononcés en Suisse en matière de blanchiment d’argent », publié en 2008 par l’Office fédéral de la police). Ce phénomène est évoqué dès le rapport annuel 2007 du Bureau de communication en matière de blanchiment d'argent (MROS), puis chaque année dès 2010 et jusqu’en 2017, notamment en lien avec des situations de « phishing » (hameçonnage). Le phénomène est décrit plus largement, avec une mise en garde au sujet d’offres d’emploi trompeuses, dans le rapport annuel 2010 de fedpol. Si les premières situations mises en exergue concernent des organisations criminelles d’Europe de l’Est, dès son rapport pour l’année 2013 le MROS met ce phénomène en évidence en lien avec des bandes d’escrocs africains. Il le décrit, dans des termes semblables à ceux de fedpol, dans son rapport de 2017, rappelant que l’intermédiaire financier est en général autorisé à conserver une commission et la monnaie de la transaction. Tant fedpol que le MROS rappellent que l’intermédiaire se livrant à ce type d’activité peut se voir reprocher, par dol éventuel, d’avoir commis un blanchiment d’argent, s’il aurait dû envisager, en fonction des circonstances, que l’argent reçu et transmis pouvait provenir de sources délictueuses. La doctrine relève à cet égard les éléments suivants, susceptibles d’entrer en considération pour déterminer si l’infraction de blanchiment d’argent a été commise intentionnellement, soit à tout le moins par dol éventuel : crédibilité et sophistication des explications amenant l’« agent financier » à mettre son compte bancaire à disposition d’un inconnu, à retirer l’argent et à le transférer en faveur d’un destinataire inconnu à l’étranger ; cohérence entre les explications fournies à l’« agent financier » et les montants crédités sur le compte bancaire de ce dernier ; ouverture d’un compte bancaire en son propre nom, sur demande de l’« employeur », pour exécuter des transactions présentées comme professionnelles ; possibilité de</w:t>
      </w:r>
    </w:p>
    <w:p>
      <w:r>
        <w:t>- 10/25 - P/18709/2016 conserver une commission importante pour un travail présentant une charge dérisoire et n’exigeant généralement aucune formation préalable ni connaissance spécialisée ; envoi par la voie postale d’argent en espèces à un destinataire inconnu à l’étranger ; participation à d’autres actes utiles pour la commission de l’infraction préalable (p. ex. recrutement d’autres « agents financiers », création de comptes sur des sites de vente en ligne, publication d’annonces prérédigées pour vendre des appareils électroniques, etc.) ; actes de disposition de l’« agent financier » lésant son propre patrimoine ; blocage d’un compte par une banque et ouverture d’un autre compte pour procéder à de nouvelles transactions ; blocage des transferts par un prestataire de services de paiement et utilisation d’une société concurrente ; questions et/ou avertissements des employés des prestataires de services de paiement ou de banque (exemples cités par BURGENER, in « Money mule, le chaînon indispensable de la criminalité informatique », Plädoyer 6/2019).</w:t>
      </w:r>
    </w:p>
    <w:p>
      <w:r>
        <w:rPr>
          <w:b/>
        </w:rPr>
        <w:t>E. 2.4</w:t>
      </w:r>
    </w:p>
    <w:p>
      <w:r>
        <w:t>L'auteur médiat est celui qui se sert d'une autre personne comme d'un instrument dénué de volonté ou du moins agissant sans intention coupable, afin de lui faire exécuter l'infraction projetée (ATF 138 IV 70 consid. 1.4 p. 76). L’auteur médiat occupe une position dominante par rapport à son instrument humain, d’un avantage cognitif ou volitif qu’il utilise pour lui faire commettre l’infraction projetée. L’infériorité de l’instrument humain se traduira souvent par un déficit au niveau des conditions générales de sa punissabilité, son comportement se révélant (objectivement ou subjectivement) atypique, justifié ou non culpeux (B. STRAULI, in L. MOREILLON / A. MACALUSO / N. QUELOZ / N. DONGOIS [éds], Code pénal I : art. 1-110 CP, 2e éd., Bâle 2021, n. 36-37 ad intro aux art. 24-27). L’auteur médiat et son instrument se distinguent ainsi des coauteurs, qui agissent de concert en collaborant, intentionnellement et de manière déterminante, à la décision de commettre une infraction, à son organisation ou à son exécution, au point d'apparaître tous deux comme des participants principaux. Ils se distinguent également des complices au sens de l’art. 25 CP, selon lequel agit comme complice celui qui prête intentionnellement assistance à l'auteur pour commettre un crime ou un délit. La complicité est une forme de participation accessoire à l'infraction, qui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128 IV 53 consid. 5f/cc p. 68 ; 121 IV 109 consid. 3a p. 119/120).</w:t>
      </w:r>
    </w:p>
    <w:p>
      <w:r>
        <w:t>- 11/25 - P/18709/2016 2.5.1. En l’espèce, les ordonnances pénales valant acte d'accusation à l’encontre des appelantes comportent une description des faits, certes sommaire, mais qui permettait aux appelantes, assistées d'un défenseur, de comprendre que les valeurs patrimoniales reçues sur leurs comptes bancaires provenaient, selon le MP, d'une infraction contre le patrimoine, soit en l'occurrence d’abus de confiance commis au profit des lésées (art. 138 CP), infraction qui constitue un crime au sens de l'art. 10 al. 2 CP. Les ordonnances pénales contiennent certes plus de détail sur le déroulement ultérieur de la procédure et les déclarations des parties, mentions finalement peu utiles à l’appui d’un acte d’accusation mais qui peuvent s’expliquer par la nature de l’ordonnance pénale, que de description de l’état de fait reproché. Cela étant, les premiers paragraphes désignent synthétiquement, mais en termes clairs, l'infraction préalable comme un abus de confiance. Dès lors que la preuve stricte du crime préalable n'est pas requise, il n'était pas nécessaire de le décrire plus précisément, les appelantes ayant suffisamment été informées sur les circonstances permettant de déduire qu'aux yeux du ministère public, les valeurs patrimoniales reçues avaient une origine criminelle. Les appelantes, et en particulier celle qui évoque spécifiquement ce grief, ne prétendent d'ailleurs pas avoir été empêchées de préparer utilement leur défense, au contraire. Le grief de violation du principe d’accusation doit ainsi être écarté. 2.5.2. Faits reprochés à A______ L’appelante conteste toute infraction, affirmant avoir été simplement l’instrument impunissable d’un auteur médiat. Cette thèse ne résiste toutefois pas à l’examen. En effet, l’appelante a agi à réitérées reprises et de façon méthodique et organisée. Il ne fait pas de doute qu’elle a été sous l’emprise sentimentale du soi-disant H______ et a fait preuve d’une grande naïveté. Aussi, si son acte avait été isolé, la théorie de l’instrument dépourvu d’intention pourrait éventuellement être défendue. Il apparaît toutefois clairement que l’appelante a été confrontée à des obstacles bien réels (blocages, contacts voire mise en garde de sa banque) et qu’elle a déployé de l’énergie pour poursuivre les fréquents virements. Elle a régulièrement rempli des formulaires (contenant systématiquement une mise en garde explicite) en indiquant des coordonnées de personnes inconnues, dans des pays tiers, et en alternant les officines de paiement pour agir. Elle a certes obéi ce faisant aux instructions de son interlocuteur ; ces instructions et manœuvres de séduction n’étaient toutefois pas suffisamment envahissantes pour la priver de toute conscience. Son comportement actif n’était pas, et de loin, entièrement piloté par ce tiers, et elle a conservé une autonomie de volonté. Le rôle de son commanditaire s’apparente ainsi à celui d’un co-auteur et non à celui d’un auteur médiat. L’appelante nie avoir eu connaissance de la provenance illicite des fonds ainsi transférés. Il convient dès lors de déterminer, en l’absence d’aveux, si elle pouvait et devait se douter de cette provenance illicite et se voir donc reprocher d’avoir agi par dol éventuel, seule forme d’intention entrant en considération en l’espèce.</w:t>
      </w:r>
    </w:p>
    <w:p>
      <w:r>
        <w:t>- 12/25 - P/18709/2016 L’appelante a certainement été la première victime des escrocs ; elle s’est elle-même endettée pour verser des fonds selon les mêmes schémas que ceux utilisés par les escrocs à l’encontre des parties plaignantes. Son comportement a été dangereux et irresponsable, essentiellement en raison de la crédulité, voire de la naïveté dont elle a fait preuve. Alors que les preuves de l’inexistence des châteaux en Espagne que lui présentait son interlocuteur s’accumulaient, qu’il se soustrayait systématiquement à toute rencontre physique, qu’il lui présentait des excuses de plus en plus abracadabrantes, elle a persisté pendant des mois dans son comportement. Elle ne réalise cependant que quelques-uns des éléments mis en évidence par la doctrine pour retenir le dol éventuel. Si les explications fournies étaient manifestement mensongères, ce dont elle aurait pu et dû se rendre compte, elles ont été suffisamment sophistiquées pour la convaincre, elle-même, de dépenser des sommes considérables qu’elle a perdues comme celles des parties plaignantes. Aucun élément ne permet de considérer qu’elle aurait perçu un bénéfice des opérations de virement réalisées au profit des escrocs ; elle a au contraire supporté avec ses propres deniers des frais de virement, en sus des dettes personnelles contractées. Elle a utilisé son compte personnel, sans aucune tentative de dissimulation et sans distinguer ses propres opérations de celles des escrocs. Elle a agi en son propre nom, sans fard ; il ne peut lui être reproché d’avoir cherché à se cacher pour les opérations de réception des fonds. Il en va néanmoins différemment des envois à l’étranger, qui s’ils ont été effectués en son nom, l’ont été à destination d’individus parfaitement inconnus et impossibles à retrouver, selon une méthode (transfert d’espèces) et à destination de pays qui rendaient illusoire toute opération d’identification et encore moins de recouvrement. L’appelante a en effet réalisé moult opérations aberrantes, en retirant des sommes importantes et les envoyant par le biais d’agences de paiement, encourant des frais disproportionnés alors que des virements bancaires auraient manifestement suffi pour les fins supposément poursuivies. Elle a envoyé ces fonds dans des pays étrangers sans lien apparent avec les mensonges servis par les escrocs (Nigéria, alors que le soi-disant H______ prétendait se trouver à des milliers de kilomètres, en Afrique du Sud, voire en Angleterre), à l’attention de personnes aux noms totalement étrangers aux protagonistes, et ce à réitérées reprises. Elle n’a jamais cherché à recueillir la moindre information sur les expéditrices des fonds, alors que celles-ci résidaient comme elle en Suisse, ce qui ressortait des avis bancaires. Ce dernier élément interpelle particulièrement, dans la mesure où même en présence de mensonges bien ficelés, il n’y a aucune logique (économique ou autre) à recourir à l’appelante comme intermédiaire pour procéder aux transferts de fonds, alors que les personnes qui les lui ont expédiés auraient tout aussi bien pu les effectuer, ayant accès, en Suisse, aux mêmes services financiers et bancaires que l’appelante. Par ailleurs, dès mars 2016, l’appelante a rencontré des difficultés en raison de blocages mis en place par les agences de paiement. Plutôt que de renoncer à effectuer des versements, elle a recouru à une troisième agence auprès de laquelle les</w:t>
      </w:r>
    </w:p>
    <w:p>
      <w:r>
        <w:t>- 13/25 - P/18709/2016 paiements étaient encore possibles. De plus, elle a sciemment menti à sa propre banque, lorsque celle-ci lui a posé des questions, vers la fin de la période pénale, au sujet des transferts suspects constatés. Elle a en effet expliqué que les fonds étaient destinés à des membres de sa famille (le 10 août 2016), et même qu’elle avait rencontré le soi-disant H______ en personne en Suisse (le 8 et le 10 octobre 2016). Ces manœuvres, puis ces mensonges délibérés, démontrent que l’appelante se doutait bien, à tout le moins à partir du printemps 2016, du caractère illicite de ses agissements. Vraisemblablement aveuglée par ses propres erreurs et entraînée par une volonté de ne pas tout perdre, l’appelante a persévéré, alors que tous les signaux étaient au rouge, en envoyant des fonds qui ne lui appartenaient pas, soustrayant ces fonds à toute perspective de confiscation et faisant obstacle à l’identification des destinataires de ces versements. Ainsi, autant il faut, en vertu du principe in dubio pro reo, retenir que l’appelante n’avait initialement pas l’intention de commettre des actes de blanchiment – même s’il s’agissait bel et bien de cela – il reste qu’à tout le moins dès le mois de mars 2016, et donc le versement reçu le 11 de ce mois, elle devait avoir conscience de la provenance illicite des fonds et du fait que ses envois répétés à l’étranger soustrayaient de facto les fonds aux autorités de poursuite pénale. Le verdict de culpabilité de blanchiment d’argent, commis par dol éventuel, doit dès lors être confirmé, avec la précision que la période pénale court du 11 mars au 5 septembre 2016 uniquement. Les fonds reçus et conséquemment blanchis pendant cette période se montent à CHF 38'100.-. Pendant cette période, elle transfère CHF 28'000.- par virements bancaires (dont CHF 5'000.- à C______) et CHF 20'150.- par des agences de transfert, une partie des fonds envoyés de la sorte provenant des prêts qu’elle avait contracté pendant la période pénale (à hauteur de CHF 15'265.20). 2.5.3. Faits reprochés à C______ L’appelante conteste toute infraction, affirmant avoir été simplement l’instrument impunissable d’un auteur médiat. Cette thèse ne résiste pas non plus à l’examen. En effet, l’appelante a agi à plusieurs reprises, à une année d’intervalle, de façon méthodique et organisée. Il ne fait pas de doute qu’elle a été sous l’emprise sentimentale du soi-disant X______ et a fait preuve d’une grande naïveté. Ses actes ont été clairement moins répétés que ceux de sa coprévenue. Cela étant, elle a pour sa part également fourni des services particulièrement suspects à l’escroc. En effet, l’appelante a certes obéi aux instructions de son interlocuteur ; ces instructions et manœuvres de séduction n’étaient toutefois pas suffisamment</w:t>
      </w:r>
    </w:p>
    <w:p>
      <w:r>
        <w:t>- 14/25 - P/18709/2016 envahissantes pour la priver de toute conscience. C’est de son plein gré qu’elle a entrepris de créer des profils en ligne pour le soi-disant X______ ; plus encore, elle a envoyé, à sa demande, à tout le moins trois courriers (dont deux contenant des chèques de voyage) à une personne inconnue, signés d’un pseudonyme. Son comportement actif n’était pas, et de loin, entièrement piloté par ce tiers, et elle a conservé une autonomie de volonté. Le rôle de son commanditaire s’apparente ainsi à celui d’un co-auteur et non à celui d’un auteur médiat. L’appelante nie avoir eu connaissance de la provenance illicite des fonds ainsi transférés. Il convient dès lors de déterminer, en l’absence d’aveux, si elle pouvait et devait se douter de cette provenance illicite et se voir donc reprocher d’avoir agi par dol éventuel, seule forme d’intention entrant en considération en l’espèce. La première chose qui attire l’attention en lien avec ces faits est à nouveau l’envoi de lettres et chèques de voyage – en 2014, soit une année avant les premiers actes de blanchiment reprochés à l’appelante. Quels que soient les mensonges savamment tissés, ces actes, tout comme la création de faux profils en ligne, sont autant de signaux d’alerte. La définition même d’Internet est son universalité : il n’y a aucune explication logique au fait de demander à un tiers, qui plus est nullement féru d’informatique et non anglophone, de créer des profils pour soi-même. Les virements reçus par l’appelante de la part de sa coprévenue suscitent les mêmes interrogations, déjà relevées ci-dessus. Il n’y a aucune logique aux transferts entre les appelantes, toutes deux résidentes en Suisse où elles détiennent leur compte bancaire. Toutefois, les quelques opérations reprochées à l’appelante ne présentent pas le même caractère répétitif que celles de sa coprévenue. Aucun élément ne permet de considérer qu’elle aurait procédé à des manœuvres particulières ou fait l’objet de mises en garde spécifiques, au-delà de celles figurant sur les différents formulaires des agences de transfert. Dans ces circonstances, et quand bien même les éléments constitutifs objectifs du blanchiment sont bel et bien réalisés, il n’est pas possible de retenir que l’appelante a agi en pleine connaissance de cause. S’agissant d’un cas limite, son comportement s’apparente à de la négligence. En application du principe in dubio pro reo, elle sera partant acquittée. 3. 3.1.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w:t>
      </w:r>
    </w:p>
    <w:p>
      <w:r>
        <w:t>- 15/25 - P/18709/2016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3.2. Selon l’art. 52 CP, si la culpabilité de l’auteur et les conséquences de son acte sont peu importantes, l’autorité compétente renonce, notamment, à lui infliger une peine. Si ces conditions cumulatives sont réunies, l’exemption par le juge est de nature impérative. Si elles ne sont réalisées qu’en instance de jugement, un verdict de culpabilité est rendu, mais dépourvu de sanction (ATF 135 IV 130 consid. 5.3.2).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135 IV 130 consid. 5.3.2, 5.3.3 et 5.4 ; arrêt du Tribunal fédéral 6B_718/2020 du 25 novembre 2020 consid. 2.2). 3.3.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w:t>
      </w:r>
    </w:p>
    <w:p>
      <w:r>
        <w:t>- 16/25 - P/18709/2016 L'art. 54 CP doit s'appliquer dans le cas où une faute légère a entraîné des conséquences directes très lourdes pour l'auteur et à l'inverse, ne doit pas être appliqué lorsqu'une faute grave n'a entraîné que des conséquences légères pour l'auteur. Entre ces extrêmes, le juge doit prendre sa décision en analysant les circonstances concrètes du cas d'espèce et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137 IV 105 consid. 2.3 ; 121 IV 162 consid. 2d ; arrêt du Tribunal fédéral 6B_515/2019 du</w:t>
      </w:r>
    </w:p>
    <w:p>
      <w:r>
        <w:rPr>
          <w:b/>
        </w:rPr>
        <w:t>E. 6</w:t>
      </w:r>
    </w:p>
    <w:p>
      <w:r>
        <w:t>juillet 2007 consid. 2.3 – relatif à l'art. 129 CP – avec la jurisprudence et la doctrine citées).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Peuvent aussi constituer des éléments extérieurs révélateurs, les mobiles de l'auteur et la manière dont il a agi (ATF 133 IV 9 consid. 4.1 p. 16 ; arrêt du Tribunal fédéral 6B_268/2020 du 6 mai 2020 consid. 1.3).</w:t>
      </w:r>
    </w:p>
    <w:p>
      <w:r>
        <w:rPr>
          <w:b/>
        </w:rPr>
        <w:t>E. 6.1</w:t>
      </w:r>
    </w:p>
    <w:p>
      <w:r>
        <w:t>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En cas d'acquittement partiel, les autorités pénales doivent avoir renoncé à poursuivre le prévenu ou à le condamner pour une partie des infractions envisagées ou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(arrêts du Tribunal fédéral 6B_80/2016 du 7 mars 2017 consid. 2.1 et les références ; 6B_187/2015 du 28 avril 2015 consid. 6.1.2 ; C. GENTON / C. PERRIER, Les prétentions du prévenu en indemnités et en réparation du tort moral, in Jusletter du 13 février 2012, p. 3, n. 11). Lorsque la procédure est classée en raison de la prescription, il n’y a pas lieu à indemnisation du prévenu s’il a provoqué illicitement et fautivement l'ouverture de la procédure (art. 430 al. 1 let. a CPP ; cf. arrêt du Tribunal fédéral 6B_669/2020 du 4 septembre 2020).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w:t>
      </w:r>
    </w:p>
    <w:p>
      <w:r>
        <w:t>- 20/25 - P/18709/2016 La Cour de justice applique un tarif horaire de CHF 450.- au chef d'étude, CHF 350.- pour les collaborateurs et CHF 150.- pour les avocats stagiaires. 5.2. En vertu de l'art. 430 al. 1 let. a CPP, l'autorité pénale peut toutefois réduire ou refuser l'indemnité ou la réparation du tort moral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p. 334 ;116 Ia 162 consid. 2c p. 168). Il y a comportement fautif lorsque le prévenu aurait dû se rendre compte, sur le vu des circonstances et de sa situation personnelle, que son attitude risquait de provoquer l'ouverture d'une enquête pénale (arrêt du Tribunal fédéral 6B_434/2008 du 29 octobre 2008 consid. 2, non publié aux ATF 135 IV 43). 5.3. La question de l'indemnisation (art. 429 à 434 CPP) doit être traitée après celle des frais (art. 423 à 428 CPP). Dans cette mesure, la décision sur les frais préjuge de la question de l'indemnisation (ATF 144 IV 207 consid. 1.8.2 p. 211; 137 IV 352 consid. 2.4.2 p. 357; arrêt du Tribunal fédéral 6B_248/2019 du 29 mars 2019 consid. 2.1.1 et les références citées).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5.4. En l’espèce, les appelantes supportent les frais de la procédure préliminaire et de première instance ; elles seront dès lors déboutées de leurs prétentions en indemnité pour celle-ci. En revanche, les appelantes doivent être indemnisées à la hauteur inverse de leur condamnation aux frais de la procédure d’appel. 5.5.1. C______ fait valoir 15 heures et 20 minutes d’activité de son conseil pour la procédure d’appel, au tarif de CHF 400.- par heure. Cette durée inclut quatre heures d’activité en lien avec la procédure de première instance, qui doivent dès lors être écartées. Par ailleurs, la durée de rédaction du mémoire d’appel (neuf heures et 20 minutes) est manifestement exagérée pour un dossier connu et maîtrisé après avoir été plaidé en première instance. Cette durée sera ramenée à cinq heures.</w:t>
      </w:r>
    </w:p>
    <w:p>
      <w:r>
        <w:t>- 21/25 - P/18709/2016 L’indemnisation accordée sera ainsi arrêtée à CHF 3'015.60, correspondant à sept heures d’activité à CHF 400.-/heure, plus la TVA par 7.7% en CHF 215.60. 5.5.2. A______ fait valoir huit heures et dix minutes d’activité de son conseil pour la procédure d’appel, au tarif de CHF 400.- par heure. Pour les motifs évoqués ci- dessus, la durée de rédaction du mémoire d’appel (six heures et 40 minutes) sera ramenée à cinq heures, pour une durée totale d’activité de six heures et 30 minutes. L’indemnisation accordée sera ainsi arrêtée à hauteur du quart des frais de défense encourus, soit CHF 700.05, TVA incluse [1/4 x (6.5 x 400.- x 1.077)]. * * * * *</w:t>
      </w:r>
    </w:p>
    <w:p>
      <w:r>
        <w:t>- 22/25 - P/18709/2016</w:t>
      </w:r>
    </w:p>
    <w:p>
      <w:r>
        <w:rPr>
          <w:b/>
        </w:rPr>
        <w:t>E. 11</w:t>
      </w:r>
    </w:p>
    <w:p>
      <w:r>
        <w:t>juin 2019 consid. 2.1). Si l'art. 54 CP n'est pas conçu comme une règle d'exception, il ne doit pas être interprété extensivement (ATF 119 IV 280 consid. 1b). 3.4. En l’espèce, la faute de l’appelante A______ n’est pas négligeable. Elle a agi de façon réitérée en transférant d’importantes sommes d’argent en Afrique, pour des motifs peu compréhensibles. En effet, s’il faut retenir qu’elle a été initialement aveuglée par les mensonges de l’escroc, elle a choisi par la suite d’ignorer tous les signaux et mises en garde pour blanchir près de CHF 40'000.- en quelques mois. Son comportement a certainement été motivé par la naïveté, voire par le refus d’admettre qu’elle avait été trompée par son interlocuteur. Sa fierté, qui l’a empêchée de mettre un terme à ses agissements (car cela aurait signifié reconnaître qu’elle avait elle- même été piégée) s’est conjuguée à son désir de faire plaisir à son galant et l’a conduite à persévérer. Sa situation personnelle ne présente pas de particularité pouvant atténuer sa faute. Si elle dit avoir été amoureuse, sa situation – elle était au bénéfice d’une activité professionnelle, installée et intégrée – était confortable. Elle a perdu des sommes importantes par le même mécanisme qui l’a conduite à la faute. Cet élément doit être pris en compte, puisqu’il s’est poursuivi pendant la période pénale, pendant laquelle elle a encore contracté des prêts personnels, augmentant d’autant sa propre perte. Le blanchiment d’argent commis en l’espèce est une infraction trop grave, compte tenu du montant litigieux en cause, pour permettre l’application de l’art. 52 CP, l’intérêt public commandant au contraire de sanctionner les actes de cette envergure pour protéger l’intégrité de la place financière et la moralité des affaires.</w:t>
      </w:r>
    </w:p>
    <w:p>
      <w:r>
        <w:t>- 17/25 - P/18709/2016 Par ailleurs, le dommage subi par l’appelante est purement matériel, et n’est pas la conséquence de ses actes mais bien de sa propre naïveté et de l’infraction dont elle a été victime. Une exemption de peine au titre de l’art. 54 CP n’entre dès lors pas en ligne de compte non plus. Tout bien pesé, compte tenu de l’ensemble des circonstances, une peine pécuniaire de 30 jours-amende apparaît adéquate pour sanctionner la faute commise par l’appelante. Le montant du jour-amende sera arrêté à CHF 100.-, qui paraît adapté à sa situation personnelle et financière. Le bénéfice du sursis est acquis à l’appelante. Le délai d’épreuve sera fixé à deux ans, pour tenir compte de la durée de la procédure et de l’absence d’antécédents. 4. 4.1.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1 in fine CP exclut la confiscation lorsqu'il s'agit de rétablir le lésé dans ses droits. Ainsi, le droit du lésé à la restitution et à l'attribution prime la confiscation (ATF 129 IV 322 consid. 2.2.4). Lorsqu'il est possible d'identifier de manière claire l'origine des valeurs patrimoniales acquises au moyen d'une infraction, l'autorité peut ordonner la restitution au lésé, sans qu'il soit nécessaire de passer préalablement par une confiscation (cf. M. DUPUIS / B. GELLER / G. MONNIER / L. MOREILLON / C. PIGUET (éds), Code pénal I : partie générale – art. 1 - 110 DPMIN, Bâle 2008, n. 15 ad art. 70 ; ATF 122 IV 365). La restitution au lésé selon l'art. 70 al. 1 in fine CP porte, en première ligne, sur les objets provenant directement du patrimoine du lésé et tend au rétablissement de ses droits absolus (restitution de l'objet volé ; pour une conception purement réelle, cf. M. NIGGLI / H. WIPRÄCHTIGER, Basler Kommentar Strafrecht I : Art. 1-110 StGB, Jugendstrafgesetz, 2e éd., Bâle 2007, n. 42 ad art. 70/71). 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(arrêt du Tribunal fédéral 6B_1035/2008 du 11 mai 2009 consid. 2.1.2). De même, le produit originel de l'infraction formé de telles valeurs reste confiscable lorsqu'il est investi dans une chose corporelle telle qu'un immeuble, ou inversement, lorsqu'il passe à plusieurs reprises d'une forme à l'autre (biens acquis en remploi improprement dit ;</w:t>
      </w:r>
    </w:p>
    <w:p>
      <w:r>
        <w:t>- 18/25 - P/18709/2016 ATF 128 I 129 consid. 3.1.2 p. 133 ; arrêt du Tribunal fédéral 6S_667/2000 du 19 février 2001, consid. 3b/bb et les nombreuses références). La restitution doit porter sur des valeurs patrimoniales qui sont le produit d'une infraction dont le lésé a été lui-même victime. Les valeurs patrimoniales doivent être la conséquence directe et immédiate de l'infraction (arrêt du Tribunal fédéral 6B_344/2007 du 1er juillet 2008 consid. 3) ou, à tout le moins, être dans un rapport de causalité naturelle et adéquate avec celle-ci (ATF 137 IV 79 consid. 3.2 p. 81 ss). Sans un tel lien entre les valeurs et l'infraction, la restitution au lésé serait contraire aux règles de la loi sur la poursuite pour dettes et la faillite. La présomption d'innocence, garantie par les art. 10 CPP, 32 al. 1 Cst., 14 par. 2 Pacte ONU II et 6 par. 2 CEDH, n'est pas directement applicable à la procédure de confiscation. Le juge de la confiscation recherche uniquement si les biens ont un lien avec une infraction, mais ne s'interroge pas sur la culpabilité de son auteur (ATF 132 II 178 consid. 4.1 p. 184 s. et les références ; ATF 117 IV 233 consid. 3 p. 237 s.). 4.2. En l’espèce, il ressort clairement des relevés de compte que le dernier virement reçu sur le compte bancaire séquestré de A______, soit celui de CHF 10'000.- provenant de la lésée F______, a été immédiatement blanchi, à hauteur de CHF 7'900.-, par un virement à C______ de CHF 5'000.- et un prélèvement de CHF 2'900.-. Le solde de CHF 2'100.- a été mélangé avec les autres fonds du compte, provenant notamment du crédit obtenu par l’appelante. Dès lors qu’il est clairement établi que cette somme de CHF 2'100.- provient directement de l’abus de confiance commis au détriment de la lésée, cette somme doit lui être restituée, en rétablissement partiel de ses droits. 5. 5.1. L’appel de A______ est partiellement admis, en ce sens que la période pénale et partant la peine sont réduites ; l’allocation à la lésée qu’elle contestait est en revanche confirmée. Elle supportera en conséquence une proportion réduite, arrêtée aux trois-quarts de sa part aux frais d’appel, soit trois huitièmes de ceux-ci.</w:t>
      </w:r>
    </w:p>
    <w:p>
      <w:r>
        <w:t>L'appel de C______ ayant été admis, il ne lui sera pas perçu de frais (art. 428 CPP a contrario).</w:t>
      </w:r>
    </w:p>
    <w:p>
      <w:r>
        <w:t>5.2. Les deux appelantes ont reçu des sommes d’argent sans réelle cause, dont elles ont disposé, privant les titulaires détentrices de ces fonds de toute possibilité de les récupérer. Elles s’en sont dessaisies en s’exposant à devoir les restituer aux lésées, dans la mesure où elles devaient savoir qu’elles pourraient être tenues de les restituer (art. 64 du code des obligations [CO]).</w:t>
      </w:r>
    </w:p>
    <w:p>
      <w:r>
        <w:t>- 19/25 - P/18709/2016</w:t>
      </w:r>
    </w:p>
    <w:p>
      <w:r>
        <w:t>Dans ces circonstances, il faut retenir qu’elles ont fautivement occasionné l’ouverture de la procédure pénale, en disposant avec légèreté des fonds reçus sans cause et dont elles s’étaient enrichies (cf. art. 62 et 63 CO). Elles devront donc supporter les frais de la procédure préliminaire et de première instance. Compte tenu de leurs rôles respectifs, la clé de répartition du premier juge doit être revue en faveur de C______, qui n’en supportera que le quart. A______, qui devrait normalement, vu sa culpabilité, supporter les trois-quarts de ces frais, en supportera les deux-tiers, le jugement entrepris ne pouvant pas être revu en sa défaveur (art. 391 al. 2 CPP). Le solde sera par conséquent laissé à la charge de l’Etat.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