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AARP/208/2020 vom 16. Juni 2020</w:t>
      </w:r>
    </w:p>
    <w:p>
      <w:r>
        <w:t>GE Cour de justice, 2020-06-16, FR</w:t>
      </w:r>
    </w:p>
    <w:p>
      <w:r>
        <w:rPr>
          <w:b/>
        </w:rPr>
        <w:t xml:space="preserve">Quelle: </w:t>
      </w:r>
      <w:r>
        <w:t>https://mcp.opencaselaw.ch/entscheid/ge_gerichte_AARP_208_2020</w:t>
      </w:r>
    </w:p>
    <w:p>
      <w:r>
        <w:t>FR: GE_GERICHTE AARP/208/2020 du 16 juin 2020</w:t>
      </w:r>
    </w:p>
    <w:p>
      <w:r>
        <w:t>IT: GE_GERICHTE AARP/208/2020 del 16 giugno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Se rend coupable d'injure celui qui aura, par la parole, l'écriture, l'image, le geste ou par des voies de fait, attaqué autrui dans son honneur (art. 177 al. 1 CP). Alors que la diffamation (art. 173 CP) ou la calomnie (art. 174 CP) supposent une allégation de fait, un jugement de valeur, adressé à des tiers ou à la victime, peut constituer une injure au sens de l'art. 177 CP.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L'art. 177 al. 2 CP permet au juge d'exempter l'auteur d'une injure de toute peine si l'injurié a directement provoqué l'injure par une conduite répréhensible. Il s'agit d'une faculté, non d'une obligation (ATF 109 IV 39 consid. 4b in fine p. 43). Le juge peut ou non exempter l'auteur de toute peine, mais il peut aussi se limiter à atténuer cette dernière. Il dispose à cet égard d'un large pouvoir d'appréciation (arrêt du Tribunal fédéral 6B_640/2008 du 12 février 2009 consid. 2.1). Le juge ne peut faire usage de la faculté que lui réserve l'art. 177 al. 2 CP que si l'injure a consisté en une réaction immédiate à un comportement répréhensible de l'injurié, qui a provoqué chez l'auteur un sentiment de révolte. Il peut s'agir d'une provocation ou d'un autre comportement blâmable. Celui-ci ne doit pas nécessairement viser l'auteur de l'injure ; une conduite grossière en public peut suffire (ATF 117 IV 270 consid. 2c p. 273 ; arrêt du Tribunal fédéral 6B_87/2013 du 13 mai 2013 consid. 4.4). L'auteur doit avoir agi sous le coup de l'émotion provoquée par la conduite répréhensible de l'injurié, sans avoir eu le temps de réfléchir tranquillement (ATF 83 IV 151 ; arrêt du Tribunal fédéral 6B_87/2013 du 13 mai 2013 consid. 4.4).</w:t>
      </w:r>
    </w:p>
    <w:p>
      <w:r>
        <w:rPr>
          <w:b/>
        </w:rPr>
        <w:t>E. 2.2</w:t>
      </w:r>
    </w:p>
    <w:p>
      <w:r>
        <w:t>L'art. 179septies CP prévoit que celui qui, par méchanceté ou par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d'une installation de télécommunication (cf. ATF 121 IV 131 consid. 5b p. 137), notamment du téléphone. L'utilisation de ce moyen de télécommunication est abusive lorsqu'il apparaît que l'auteur ne tend pas vraiment à</w:t>
      </w:r>
    </w:p>
    <w:p>
      <w:r>
        <w:t>- 5/11 - P/20002/2018 une communication d'informations ou de pensées, mais emploie plutôt le téléphone dans le but d'importuner ou inquiéter la personne appelée. Selon la jurisprudence (cf. ATF 126 IV 216 consid. 2b/aa p. 219 s.), les téléphones inquiétants et importuns doivent atteindre une certaine gravité minimale sur le plan quantitatif et/ou qualificatif, pour constituer une atteinte à la sphère personnelle de la victime punissable pénalement au sens de l'art. 179septies CP. En cas d'atteintes légères ou moyennes à la sphère personnelle causées par l'usage du téléphone, la limite de la punissabilité exige une certaine quantité d'actes. La question du nombre d'appels nécessaire pour admettre une utilisation abusive d'une installation de communication, dépend des circonstances du cas d'espèce et ne peut pas être déterminée de façon abstraite (arrêt du Tribunal fédéral 6B_1088/2015 du 6 juin 2016 consid. 2.1).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p. 137 ; arrêt du Tribunal fédéral 6B_441/2016 du 29 mars 2017 consid. 5.1). 2.3.1. En l’espèce, l’appelante ne conteste pas le caractère injurieux des propos qu’elle a tenus à l’égard de l’intimé. C’est en vain qu’elle invoque une provocation de la part de l’intimé, provocation qui ne ressort d’aucun élément de la procédure. Elle ne démontre en particulier aucun propos ni message injurieux qui auraient expliqué ce qu’elle tente de décrire comme une réaction. En particulier, le message vocal de juillet 2018 semble motivé par le fait que l’intimé avait déposé plainte, ce qui n’est évidemment pas constitutif d’une provocation au sens de l’art. 177 al. 2 CP. Faute d’avoir démontré l’existence d’une provocation de la part de l’intimé, l’appelante se prévaut en vain de l’art. 177 al. 2 CP. Le verdict de culpabilité et le prononcé d’une peine pour injures doivent donc être confirmé. 2.3.2. L’appelante conteste tout aussi vainement la réalisation des conditions de l’art. 179septies CP. Elle ne remet à raison plus en question le nombre d’appels effectués, ni être l’auteur des appels masqués adressés à l’intimé. La motivation invoquée – la peur ou la provocation de l’intimé – est farfelue : on ne comprend pas en quoi des appels incessants sont susceptibles de mitiger la crainte qu’elle affirme ressentir pour son correspondant. Au surplus, la provocation n’est pas plus démontrée. Au contraire, les appels intempestifs et importuns, répétés parfois plusieurs dizaines de fois par jour jusqu’auprès de l’employeur de l’intimé, ne s’expliquent en réalité que par une volonté de nuire, partant, par méchanceté. L’appel doit donc également être rejeté en tant qu’il porte sur le verdict de culpabilité d’infraction à l’art. 179septies CP.</w:t>
      </w:r>
    </w:p>
    <w:p>
      <w:r>
        <w:rPr>
          <w:b/>
        </w:rPr>
        <w:t>E. 3.1</w:t>
      </w:r>
    </w:p>
    <w:p>
      <w:r>
        <w:t>L’appelante ne s’exprime pas sur la peine prononcée. La CPAR doit néanmoins statuer sur ce point.</w:t>
      </w:r>
    </w:p>
    <w:p>
      <w:r>
        <w:t>- 6/11 - P/20002/2018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En l’espèce, la faute de l’appelante n’est pas négligeable. Dans une situation de rupture sentimentale, elle a laissé libre cours à sa colère et a procédé par méchanceté et sans égard pour la vie privée et à l’honneur de son ancien compagnon. Elle a agi de façon répétée, sur une période relativement longue, pour des motifs obscurs, n’hésitant pas à perpétrer ses agissements jusque chez l’employeur de l’intimé, dans le but manifeste de lui occasionner un maximum de désagréments. Sa situation personnelle, relativement précaire, ne présente aucune particularité et ne saurait justifier l’acharnement dont elle a fait preuve. Elle n’a pas du tout collaboré à l’enquête, s’abstenant de répondre aux convocations à réitérées reprises, niant une bonne partie des faits, revenant sur ses aveux partiels et blâmant le lésé, faisant preuve de bien peu d’introspection et encore moins de prise de conscience. L’absence d’antécédents a un effet neutre sur la fixation de la peine. Compte tenu de l’ensemble de ces éléments, les peines fixées par le premier juge, soit de 50 jours-amende à CHF 30.- l’unité, assortie du sursis et d’un délai d'épreuve de trois ans, ainsi qu’une amende de CHF 300.-, s’agissant du délit, et une amende de CHF 600.- pour la contravention, apparaissent adéquates et proportionnées à la faute commise ; elles seront confirmées.</w:t>
      </w:r>
    </w:p>
    <w:p>
      <w:r>
        <w:rPr>
          <w:b/>
        </w:rPr>
        <w:t>E. 4</w:t>
      </w:r>
    </w:p>
    <w:p>
      <w:r>
        <w:t>L'appelante, qui succombe, supportera les frais de la procédure envers l'Etat (art. 428 CPP).</w:t>
      </w:r>
    </w:p>
    <w:p>
      <w:r>
        <w:t>- 7/11 - P/20002/2018</w:t>
      </w:r>
    </w:p>
    <w:p>
      <w:r>
        <w:rPr>
          <w:b/>
        </w:rPr>
        <w:t>E. 5.1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En l’occurrence, les 30 minutes facturées pour la rédaction et l’envoi de la déclaration d’appel, document qui n’appelle pas de motivation particulière, seront écartées s’agissant d’une activité couverte par l’indemnisation forfaitaire. Pour le reste, l’état de frais produit par le conseil de l’appelante paraît adéquat et conforme aux dispositions et principes qui précèdent, de sorte qu’il sera admis.</w:t>
      </w:r>
    </w:p>
    <w:p>
      <w:r>
        <w:t>En conclusion, l'indemnité sera arrêtée à CHF 568.65 correspondant à 2 heures et 12 minutes d'activité au tarif de CHF 200.-/heure plus la majoration forfaitaire de 20% et l'équivalent de la TVA au taux de 7.7%.</w:t>
      </w:r>
    </w:p>
    <w:p>
      <w:r>
        <w:rPr>
          <w:b/>
        </w:rPr>
        <w:t>E. 6.1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juste indemnité, notion qui laisse un large pouvoir d'appréciation au juge, couvre les dépenses et les frais nécessaires pour faire valoir le point de vue de la partie plaignante dans la procédure pénale. Il s'agit en premier lieu des frais d'avocat de la partie plaignante.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w:t>
      </w:r>
    </w:p>
    <w:p>
      <w:r>
        <w:t>- 8/11 - P/20002/2018</w:t>
      </w:r>
    </w:p>
    <w:p>
      <w:r>
        <w:rPr>
          <w:b/>
        </w:rPr>
        <w:t>E. 6.2</w:t>
      </w:r>
    </w:p>
    <w:p>
      <w:r>
        <w:t>En l’espèce, l’état de frais du conseil de l’intimé apparaît quelque peu élevé, singulièrement en comparaison avec celui du conseil de l’appelante, même si les développements de l’intimé sont plus longs. Le montant alloué sera ramené à CHF 1'696.25, correspondant à trois heures et demie d’activité à CHF 450.- de l’heure plus la TVA à 7.7%. * * * * *</w:t>
      </w:r>
    </w:p>
    <w:p>
      <w:r>
        <w:t>- 9/11 - P/20002/2018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