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AARP/208/2014 vom 6. Mai 2014</w:t>
      </w:r>
    </w:p>
    <w:p>
      <w:r>
        <w:t>GE Cour de justice, 2014-05-06, FR</w:t>
      </w:r>
    </w:p>
    <w:p>
      <w:r>
        <w:rPr>
          <w:b/>
        </w:rPr>
        <w:t xml:space="preserve">Quelle: </w:t>
      </w:r>
      <w:r>
        <w:t>https://mcp.opencaselaw.ch/entscheid/ge_gerichte_AARP_208_2014</w:t>
      </w:r>
    </w:p>
    <w:p>
      <w:r>
        <w:t>FR: GE_GERICHTE AARP/208/2014 du 6 mai 2014</w:t>
      </w:r>
    </w:p>
    <w:p>
      <w:r>
        <w:t>IT: GE_GERICHTE AARP/208/2014 del 6 maggio 2014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t>- 6/10 - P/16047/2013 2.2.1 L'art. 20 CP, qui prescrit au juge d'ordonner une expertise s'il existe une raison sérieuse de douter de la responsabilité de l'auteur, correspond à l'art. 13 al. 1 aCP (cf. Message concernant la modification des dispositions générales du code pénal et du code pénal militaire, FF 1999 p. 1813). La jurisprudence relative à cette dernière disposition conserve donc sa valeur. Selon celle-là, le juge doit ordonner une expertise non seulement lorsqu'il éprouve effectivement des doutes quant à la responsabilité de l'auteur, mais aussi lorsque, d'après les circonstances du cas particulier, il aurait dû en éprouver, c'est-à-dire lorsqu'il se trouve en présence d'indices sérieux propres à faire douter de la responsabilité pleine et entière de l'auteur (ATF 133 IV 145 consid. 3.3 p. 147). À titre d'exemple de tels indices, la jurisprudence mentionne une contradiction manifeste entre l'acte et la personnalité de l'auteur, le comportement aberrant du prévenu, un séjour antérieur dans un hôpital psychiatrique, une interdiction prononcée en vertu du code civil, l'alcoolisme chronique, la dépendance aux stupéfiants, la possibilité que la culpabilité ait été influencée par un état affectif particulier ou encore l'existence de signes d'une faiblesse d'esprit ou d'un retard mental (cf. ATF 133 IV 145 consid. 3.3 p. 147 et les exemples cités ; ATF 116 IV 273 consid. 4a p. 274 ; 102 IV 74 consid. 1b p. 75 s.). 2.2.2 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w:t>
      </w:r>
    </w:p>
    <w:p>
      <w:r>
        <w:t>- 7/10 - P/16047/2013 facteurs liés à l'auteur (Täterkomponente) ainsi qu'en raison d'une éventuelle tentative selon l'art. 22 al. 1 CP (arrêts du Tribunal fédéral 6B_741/2010 du 9 novembre 2010 consid. 3.1.2 et 6B_1092/2009 du 22 juin 2010 consid. 2.2.2).</w:t>
      </w:r>
    </w:p>
    <w:p>
      <w:r>
        <w:rPr>
          <w:b/>
        </w:rPr>
        <w:t>E. 2.3</w:t>
      </w:r>
    </w:p>
    <w:p>
      <w:r>
        <w:t>En matière de séjour illégal, le Tribunal fédéral a jugé que lorsque la situation irrégulière qui doit faire l'objet d'un nouveau jugement procède de la même intention que celle qui a présidé à des faits déjà jugés, la somme des peines prononcées à raison du délit continu doit être adaptée à la faute considérée dans son ensemble et ne pas excéder la peine maximale prévue par la loi (ATF 135 IV 6 consid. 4).</w:t>
      </w:r>
    </w:p>
    <w:p>
      <w:r>
        <w:rPr>
          <w:b/>
        </w:rPr>
        <w:t>E. 2.4</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2.4.1</w:t>
      </w:r>
    </w:p>
    <w:p>
      <w:r>
        <w:t>La faute de l'appelant ne saurait être qualifiée de légère. Il s'en est pris au patrimoine d'autrui, causant un préjudice important, sans égard pour les difficultés ainsi causées à un petit commerçant. Il s'entête en outre à séjourner en Suisse sans droit, au mépris des dispositions légales pertinentes et des nombreuses décisions dont il a déjà été l'objet. Ses mobiles sont égoïstes étant observé que le butin du cambriolage avait une valeur dépassant ce qui était strictement nécessaire à couvrir les besoins de l'appelant en stupéfiants. S'il faut admettre, vu ses antécédents, qu'il présente une addiction à l'héroïne, voire à l'alcool, il demeure que la conscience, élémentaire, de ce qu'il est interdit de voler ou d'endommager la propriété d'autrui à cette fin était entière et qu'aucun élément du dossier ne permet de penser que celle de se déterminer en fonction de cette conscience ait pu être diminuée. Au contraire, l'appelant a agi de façon méthodique et logique, "tournant" longuement avant de choisir sa cible puis dissimulant aussitôt une partie de son butin dans une consigne.</w:t>
      </w:r>
    </w:p>
    <w:p>
      <w:r>
        <w:t>- 8/10 - P/16047/2013 L'appelant ne peut se prévaloir d'une bonne collaboration, n'ayant fini par admettre les faits que parce qu'il y était contraint, pour avoir été trouvé en possession du butin et être reconnaissable sur les images de vidéosurveillance. Ses regrets sont tardifs et paraissent purement circonstanciels. Ses antécédents sont très mauvais et spécifiques, étant notamment observé que l'appelant a récidivé à peine une semaine après sa dernière sortie de prison. Il y a concours d'infractions passibles d'une peine privative de liberté. Sa situation personnelle est certainement précaire mais l'appelant y contribue, en persistant à demeurer en Suisse alors qu'il n'y a aucun avenir, plutôt que de retourner dans son pays et de tenter de s'y installer, en exploitant ses compétences de mécanique.</w:t>
      </w:r>
    </w:p>
    <w:p>
      <w:r>
        <w:rPr>
          <w:b/>
        </w:rPr>
        <w:t>E. 2.4.2</w:t>
      </w:r>
    </w:p>
    <w:p>
      <w:r>
        <w:t>Il n'est pas nécessaire que l'autorité de jugement pénale détaille arithmétiquement les éléments pertinents retenus pour la fixation de la peine, dans la mesure où la motivation permet de saisir que tous les éléments importants ont été pris en considération (ATF 127 IV 101 consid. 2c). Cependant, vu l'ATF 135 IV 6 précité, il convient d'identifier les peines subies par l'appelant en raison des infractions à la loi sur les étrangers afin d'éviter que le plafond d'une année prévu par la disposition topique ne soit dépassé. L'appelant a été condamné le 5 janvier 2013 pour entrée illégale, point de départ de la période pénale. Il a été condamné, depuis ce retour, à trois reprises, à des peines privatives de liberté cumulées de 14 mois pour un recel, des infractions à la LEtr et des délits contre la LStup. Eu égard à la gravité des infractions autres que les violations de la LEtr, il faut retenir que la part des peines cumulées sanctionnant ces derniers délits est de l'ordre de sept mois.</w:t>
      </w:r>
    </w:p>
    <w:p>
      <w:r>
        <w:rPr>
          <w:b/>
        </w:rPr>
        <w:t>E. 2.4.3</w:t>
      </w:r>
    </w:p>
    <w:p>
      <w:r>
        <w:t>Au regard de l'ensemble des circonstances, la peine privative de liberté de sept mois et l'amende de CHF 300.- prononcées par le premier juge est adéquate, étant précisé que la partie de la peine privative de liberté sanctionnant le séjour illégal est estimée par l'autorité d'appel à trois mois de sorte que le maximum d'une année, toutes condamnations de ce chef confondues n'est pas dépassé.</w:t>
      </w:r>
    </w:p>
    <w:p>
      <w:r>
        <w:rPr>
          <w:b/>
        </w:rPr>
        <w:t>E. 2.4.4</w:t>
      </w:r>
    </w:p>
    <w:p>
      <w:r>
        <w:t>A juste titre l'appelant ne requiert pas l'octroi du sursis, la condition objective n'étant pas réalisée et le pronostic assurément pas particulièrement favorable (art. (42 al. 2). Le jugement entrepris sera partant confirmé et l'appel rejeté.</w:t>
      </w:r>
    </w:p>
    <w:p>
      <w:r>
        <w:rPr>
          <w:b/>
        </w:rPr>
        <w:t>E. 3</w:t>
      </w:r>
    </w:p>
    <w:p>
      <w:r>
        <w:t>L'appelant, qui succombe, supportera l’intégralité des frais de la procédure d'appel, qui comprennent un émolument de jugement de CHF 1’000.- (art. 428 al. 1 CPP et 14 al. 1 let. e du Règlement fixant le tarif des frais en matière pénale du 22 décembre 2010 [RTFMP ; RS E 4 10.03]).</w:t>
      </w:r>
    </w:p>
    <w:p>
      <w:r>
        <w:t>- 9/10 - P/16047/2013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