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AARP/206/2022 vom 22. Februar 2022</w:t>
      </w:r>
    </w:p>
    <w:p>
      <w:r>
        <w:t>GE Cour de justice, 2022-02-22, FR</w:t>
      </w:r>
    </w:p>
    <w:p>
      <w:r>
        <w:rPr>
          <w:b/>
        </w:rPr>
        <w:t xml:space="preserve">Quelle: </w:t>
      </w:r>
      <w:r>
        <w:t>https://mcp.opencaselaw.ch/entscheid/ge_gerichte_AARP_206_2022</w:t>
      </w:r>
    </w:p>
    <w:p>
      <w:r>
        <w:t>FR: GE_GERICHTE AARP/206/2022 du 22 février 2022</w:t>
      </w:r>
    </w:p>
    <w:p>
      <w:r>
        <w:t>IT: GE_GERICHTE AARP/206/2022 del 22 febbraio 2022</w:t>
      </w:r>
    </w:p>
    <w:p>
      <w:pPr>
        <w:pStyle w:val="Heading2"/>
      </w:pPr>
      <w:r>
        <w:t>Erwägungen</w:t>
      </w:r>
    </w:p>
    <w:p>
      <w:r>
        <w:rPr>
          <w:b/>
        </w:rPr>
        <w:t>E. 1</w:t>
      </w:r>
    </w:p>
    <w:p>
      <w:r>
        <w:t>Les appels ont été interjetés et motivés selon la forme et dans les délais prescrits (art. 398 et 399 du Code de procédure pénale [CPP]). Dans cette mesure, ils sont recevables.</w:t>
      </w:r>
    </w:p>
    <w:p>
      <w:r>
        <w:t>La juridiction d'appel limite son examen aux violations décrites dans l'acte d'appel (art. 404 al. 1 CPP), sauf en cas de décisions illégales ou inéquitables (art. 404 al. 2 CPP), et prend note du retrait partiel de l'appel du prévenu.</w:t>
      </w:r>
    </w:p>
    <w:p>
      <w:r>
        <w:rPr>
          <w:b/>
        </w:rPr>
        <w:t>E. 2</w:t>
      </w:r>
    </w:p>
    <w:p>
      <w:r>
        <w:t>La question de la recevabilité de la contestation de ce que l'appelant s'est rendu, objectivement si ce n'est subjectivement, l'auteur de dommages à la propriété alors que la déclaration d'appel, tout en précisant que le jugement est contesté dans son ensemble, semble limiter la portée de dite contestation aux mesures de traitement institutionnel et d'expulsion prononcées, souffre de demeurer ouverte.</w:t>
      </w:r>
    </w:p>
    <w:p>
      <w:r>
        <w:t>Contrairement à ce que soutient la défense, la demande de mesure pour prévenu irresponsable reproche à l'appelant d'avoir porté atteinte non à la propriété de la</w:t>
      </w:r>
    </w:p>
    <w:p>
      <w:r>
        <w:t>- 12/25 - P/5640/2020 victime mais à celle de l'époux de F______, détenteur du véhicule endommagé par les objets projetés par la fenêtre. Les faits sont reconnus et F______, en sa qualité de conjoint du détenteur et d'utilisatrice principale dudit véhicule, a valablement déposé plainte dans le délai légal. Les éléments constitutifs objectifs de l'infraction réprimée à l'art. 144 CP sont bien réalisés.</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consid. 5.4).</w:t>
      </w:r>
    </w:p>
    <w:p>
      <w:r>
        <w:t>- 13/25 - P/5640/2020 3.1.2. 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6B_1403/2020 du 5 mai 2021 consid. 1.1 ; 6B_1160/2017 du 17 avril 2018 consid. 2.1). 3.2.1.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 2 décembre 2010 consid. 2.1). En d'autres termes, il faut que la structure mentale de l'intéressé s'écarte manifestement de la moyenne par rapport aux autres sujets de droit, mais plus encore par rapport aux autres criminels (arrêts du Tribunal fédéral 6B_1167/2018 du 23 janvier 2019, consid. 4.1 ; 6B_31/2015 susmentionné consid. 2.1).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Cette dernière condition est réalisée lorsque, au moment de la décision, il est suffisamment vraisemblable qu'un traitement institutionnel entraînera dans les cinq ans de sa durée normale une réduction nette du risque de récidive (ATF 140 IV 1 consid. 3.2.4 ; 137 IV 201 consid. 1.3 ; 134 IV 315 consid. 3.4.1). Une mesure institutionnelle implique un minimum d'inclination du concerné à coopérer. Il ne faut cependant pas donner trop de poids à ce paramètre au moment du jugement. Il faut tenir compte de ce que la maladie psychique peut empêcher la personne atteinte de complètement réaliser la nécessité et la possibilité d'un</w:t>
      </w:r>
    </w:p>
    <w:p>
      <w:r>
        <w:t>- 14/25 - P/5640/2020 traitement. Le premier but d'une thérapie consiste souvent à faire naître la volonté d'être soigné. Il est donc déterminant que soit reconnaissable une volonté minimale de suivre un traitement thérapeutique (arrêt du Tribunal fédéral 6B_1088/2020 du 18 novembre 2020 consid. 1.3.2). 3.2.2. Selon la jurisprudence, les autorités d'exécution sont compétentes pour désigner le lieu d'exécution du traitement institutionnel, en tenant compte du risque de fuite ou de récidive (ATF 142 IV 1 consid. 2.5). Cela étant, si un placement en milieu fermé apparaît déjà nécessaire au moment du prononcé du jugement, le juge peut et doit l'indiquer dans les considérants en traitant des conditions de l'art. 59 al. 3 CP (ATF 142 IV 1 consid. 2.4.4 et consid.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arrêts du Tribunal fédéral 6B_845/2016 du 29 juin 2017 consid. 3.1.4 ; 6B_371/2016 du 10 février 2017 consid. 2.1). 3.2.3. L'internement fondé sur l'art. 64 CP suppose que l'auteur ait commis l'une des infractions énumérées à l'al. 1 de cette disposition, dont fait partie le meurtre, et qu'il ait par-là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à savoir une mesure thérapeutique institutionnelle, apparaisse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d'atteinte à la sécurité publique doit, au contraire, être sérieux. Il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et les arrêts cités). Le danger est également admis lorsque le risque de récidive est limité à un cercle relativement restreint de victimes potentielles. La dangerosité constitue la mise en péril de la sécurité publique. Il faut notamment tenir compte de l'imminence et de la gravité du danger mais également de la nature et de l'importance du bien juridique</w:t>
      </w:r>
    </w:p>
    <w:p>
      <w:r>
        <w:t>- 15/25 - P/5640/2020 menacé. Ainsi, la prévention de la récidive mise en oeuvre par la mesure d'internement vise l'empêchement futur pour le condamné d'accomplir des actes du même genre que ceux commis jusqu'alors et plus généralement de tout acte pouvant porter gravement atteinte à l'intégrité physique, psychique ou sexuelle d'une éventuelle future victime (L. MOREILLON / A. MACALUSO / N. QUELOZ / N. DONGOIS (éds), Commentaire romand, Code pénal I, art. 1-110 CP, 2ème éd., Bâle 2021 n. 34ss ad art. 64 CP).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(cf. ATF 134 IV 315 consid. 3.2).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condition réalisée, comme déjà rappelé, lorsque, au moment de la décision, il est suffisamment vraisemblable qu'un traitement institutionnel entraînera dans les cinq ans de sa durée normale une réduction nette du risque de récidive.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6B_1348/2017 du 22 janvier 2018 consid. 1.1.2 ; 6B_954/2016 du 28 septembre 2017 consid. 1.1.2). 3.3.1. Il est évident que l'expertise judiciaire mise en œuvre par le MP souffre de limites, dans la mesure où les experts n'ont eu accès ni à l'appelant, ni à son dossier médical ou aux praticiens qui l'ont suivi. Les experts ont d'ailleurs eux-mêmes mis en avant ces difficultés, notamment en exposant qu'ils ne s'étaient sentis en mesure d'exécuter leur mission dans de telles conditions qu'au vu des éléments recueillis sur commission rogatoire, dont l'expertise française, en adoptant souvent le conditionnel, en posant un diagnostic potentiel et large de psychose non organique ou encore en ne se prononçant pas sur l'évolution de l'état de santé de l'expertisé et la durée du traitement préconisé.</w:t>
      </w:r>
    </w:p>
    <w:p>
      <w:r>
        <w:t>- 16/25 - P/5640/2020 Ces limites ne sont pas attribuables aux experts ou à leur méthode, mais au refus de collaborer de l'appelant, lequel, interpellé sur ce point, a encore indiqué, sans ambiguïté, lors des débats d'appel, qu'il persistait dans son refus d'adhérer à une telle mission. Il s'ensuit qu'il n'y a pas lieu d'ordonner une nouvelle expertise, confiée à d'autres, et que la mise en œuvre d'une expertise complémentaire ne permettrait pas d'obtenir un meilleur résultat. L'appelant ne le soutient du reste pas. Par ailleurs, contrairement à ce que semble soutenir la défense, il n'est pas critiquable que les experts se soient sentis en mesure de procéder dès lors qu'ils disposaient du dossier français, notamment l'expertise judiciaire. De la sorte, à défaut de pouvoir examiner l'appelant, ils ont pu se fonder sur des éléments médicaux constatés par des médecins qui avaient procédé à un tel examen. Réalisée fin décembre 2016, l'expertise judiciaire française n'est pas si ancienne, et la commission des faits à l'origine de la présente procédure renseigne suffisamment sur l'évolution de l'état de santé mental de leur auteur, en ce sens que celui-ci ne s'est en tout cas pas amélioré. Au contraire : il y a une nette aggravation, tant au plan de l'atteinte aux facultés de l'appelant, lequel est passé de partiellement responsable à irresponsable, qu'à celui du risque présenté, ce dernier s'en étant désormais pris à la vie d'autrui, ce qu'il n'avait pas fait précédemment. Sans ignorer les limites de ce support, il faut donc retenir que l'expertise diligentée par le MP suffit pour permettre l'examen des mesures prévues aux art. 56 et ss CP. 3.3.2. L'appelant est, objectivement, l'auteur d'une tentative de meurtre au sens des art. 22 et 111 CP. Il résulte du dossier qu'il est atteint d'un trouble mental. Selon ses propres dires, le diagnostic posé, il y a plusieurs années, serait celui de schizophrénie ce que semble confirmer l'évocation d'un traitement médicamenteux de Risperdal ou Zyprexa, tous deux des neuroleptiques indiqués pour le traitement de la schizophrénie notamment. L'expertise française, sans poser de diagnostic, retient une personnalité pathologique, structurée en référence à un registre de type état limite à composante psychotique, à l'origine de troubles du caractère, ainsi que des troubles psychiques et neuropsychiques présents au moment des faits reprochés. Celle réalisée dans le cadre de la présente procédure conclut que l'appelant semble souffrir d'une psychose non organique, tout en précisant dans le chapitre réservé à la discussion, que les signes cliniques résultant du dossier sont compatibles avec un diagnostic de schizophrénie, et expose que celui, plus large, de trouble psychotique non organique a été préféré car il n'était pas possible d'exclure d'autres diagnostics psychiatriques proches, tels un trouble délirant persistant ou un trouble schizoaffectif. Les auteurs du rapport ont réitéré cette explication lors de leur audition. Il n'y a ainsi pas de doute quant au fait que l'appelant est atteint d'un trouble mental psychotique, soit un trouble mental grave, lequel, toujours selon les conclusions des experts, est en relation avec ses actes, et que l'appelant présente, en raison de cette pathologie, un risque élevé de récidive d'infraction violente. Il y a d'autant moins de raison de s'écarter de cette conclusion que le rapport de fin 2016 mettait aussi en évidence un risque auto- et</w:t>
      </w:r>
    </w:p>
    <w:p>
      <w:r>
        <w:t>- 17/25 - P/5640/2020 hetero-agressif, en situation de contrainte et de frustration générant une blessure narcissique, et que les faits graves commis au préjudice de la victime dans la présente cause constituent déjà un cas de récidive violente, de gravité nettement supérieure. 3.3.3. Il est ainsi acquis qu'une mesure doit être prononcée, aux fins de préserver la sécurité publique, tout en prodiguant autant que possible à l'intéressé les soins propres à réduire le risque de récidive.</w:t>
      </w:r>
    </w:p>
    <w:p>
      <w:r>
        <w:rPr>
          <w:b/>
        </w:rPr>
        <w:t>E. 3.4</w:t>
      </w:r>
    </w:p>
    <w:p>
      <w:r>
        <w:t>Reste à déterminer quelle mesure.</w:t>
      </w:r>
    </w:p>
    <w:p>
      <w:r>
        <w:rPr>
          <w:b/>
        </w:rPr>
        <w:t>E. 3.4.1</w:t>
      </w:r>
    </w:p>
    <w:p>
      <w:r>
        <w:t>Un traitement ambulatoire, est, du moins à ce stade, clairement exclu, ainsi que retenu par les experts, vu l'anosognosie de l'appelant et la situation de rupture de traitement thérapeutique dans laquelle il se trouve, selon ses propres dires. Certes, il motive son refus de prendre du Risperdal par des effets secondaires sérieux. Ceux-ci ne sont cependant pas démontrés, faute d'accès à son dossier médical, pas plus qu'il n'est établi que le temps nécessaire à une mise en place adéquate du traitement a pu être pris ou une alternative étudiée. Par ailleurs, son intérêt personnel à éviter de tels effets ne prime pas sur l'intérêt public à contenir le risque de récidive d'infraction grave. Certes aussi, il se dit en revanche ouvert à la prise de Zyprexa, sans que l'on sache si et quand cette médication lui a été prescrite, étant rappelé qu'il a aussi affirmé avoir entrepris avec son médecin traitant – dont il a par ailleurs dit qu'il ne le voyait plus – les démarches pour ne pas être médicalisé. Du reste, que l'appelant fut, lors des faits, sous Zyprexa, comme il affirme par moments, ou pas, comme semblent plutôt penser son conseil et le MP, qui ont tous deux souligné qu'aucune trace de ce médicament n'a été retrouvée dans ses effets, serait également inquiétant : dans la première hypothèse, cela signifierait que la médication ne permet pas de contenir le risque, dans la seconde que l'adhésion est défaillante. Enfin, le fait que l'appelant soit en mesure d'interagir avec sa curatrice n'est pas pertinent. D'une part, les experts en étaient conscients, dès lors que ce sont eux qui ont recueilli et rapporté les propos de cette intervenante. D'autre part, une interaction adéquate avec une curatrice n'est en rien comparable à l'adhésion que suppose un traitement médical ambulatoire laquelle, en l'occurrence, fait clairement défaut.</w:t>
      </w:r>
    </w:p>
    <w:p>
      <w:r>
        <w:rPr>
          <w:b/>
        </w:rPr>
        <w:t>E. 3.4.2</w:t>
      </w:r>
    </w:p>
    <w:p>
      <w:r>
        <w:t>Les experts préconisent un traitement institutionnel en milieu fermé, dans un établissement tel celui de K______. Cette conclusion rejoint celle de leurs prédécesseurs de J______, qui avaient tenu pour nécessaire une hospitalisation en milieu psychiatrique sous contrainte. Les experts mis en œuvre par le MP estiment qu'un tel traitement serait de nature à diminuer le risque de récidive mais précisent,</w:t>
      </w:r>
    </w:p>
    <w:p>
      <w:r>
        <w:t>- 18/25 - P/5640/2020 en réponse à la question de la durée prévisible, qu'ils ne sont pas en mesure de se prononcer sur l'évolution de ce risque. Ainsi, à teneur de l'expertise, concluante sur ces points, toutes les conditions au prononcé de la mesure contestée sont remplies, si ce n'est, peut-être, celle de la perspective d'une nette réduction du risque de récidive dans les cinq ans. Toutefois, contrairement à ce qui a été plaidé, ce constat ne saurait conduire à la renonciation à toute mesure. Il poserait plutôt la question du prononcé d'un internement en lieu et place du traitement institutionnel, étant rappelé que la juridiction d'appel pourrait envisager de l'ordonner, sans contrevenir à l'interdiction de la reformatio in pejus (ATF 123 IV 1). Dès lors que les experts n'ont pas exclu la possibilité d'amélioration dans le délai précité, alors que la question leur était posée en des termes clairs, tout en disant ne pas pouvoir se prononcer sur un internement, que cette dernière mesure ne saurait être ordonnée qu'au titre d'ultima ratio et que la sécurité publique semble suffisamment sauvegardée par la possibilité de prolonger la mesure (art. 59 al. 4 CP), voire de la commuer en internement en cas d'échec (art. 65 al. 2 CP), il se justifie d'en rester au traitement institutionnel. Le jugement est partant confirmé en ce qu'il ordonne dite mesure, étant précisé, à l'attention de l'autorité d'exécution, qu'à tout le moins dans un premier temps, celle-là devrait être effectuée en milieu fermé, au sens de l'art. 59 al. 3 CP, soit, à Genève, à K______.</w:t>
      </w:r>
    </w:p>
    <w:p>
      <w:r>
        <w:rPr>
          <w:b/>
        </w:rPr>
        <w:t>E. 4</w:t>
      </w:r>
    </w:p>
    <w:p>
      <w:r>
        <w:t>Les motifs ayant conduit les premier juges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5</w:t>
      </w:r>
    </w:p>
    <w:p>
      <w:r>
        <w:t>À raison, l'appelant a retiré son recours en ce qu'il visait l'expulsion, dont les conditions sont manifestement réalisées, alors qu'il ne se trouve tout aussi clairement pas dans un cas de rigueur (art. 66a CP).</w:t>
      </w:r>
    </w:p>
    <w:p>
      <w:r>
        <w:rPr>
          <w:b/>
        </w:rPr>
        <w:t>E. 6.1</w:t>
      </w:r>
    </w:p>
    <w:p>
      <w:r>
        <w:t>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Selon l''art. 126 al. 2 CPP, le juge renvoie la partie plaignante à agir par la voie civile lorsque celle-ci n'a pas chiffré ses conclusions de manière suffisamment précise ou ne les a pas suffisamment motivées (let. b) ou encore lorsque le prévenu est acquitté alors que l'état de fait n'a pas été suffisamment établi (let. d).</w:t>
      </w:r>
    </w:p>
    <w:p>
      <w:r>
        <w:t>- 19/25 - P/5640/2020 Bien que régi par les art. 122 ss CPP, le procès civil dans le procès pénal demeure soumis à la maxime des débats et à celle de disposition. 6.2.1. 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Die Entstehung durch unerlaubte Handlungen, Zürich, 2007, n. 55 ad art. 47/49 CO). Lorsque l'auteur du dommage était durablement (ou passagèrement mais sans sa faute) incapable de discernement, le juge le condamne à réparer tout ou partie du dommage si l'équité l'exige (art. 54 CO). 6.2.2.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n. 21 ss ad art. 47 CO).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w:t>
      </w:r>
    </w:p>
    <w:p>
      <w:r>
        <w:t>- 20/25 - P/5640/2020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Statuant selon les règles du droit et de l'équité (art. 4 CC), le juge dispose d'un large pouvoir d'appréciation (ATF 132 II 117 consid. 2.2.3 in limine). 6.2.3. La jurisprudence récente de la Chambre pénale d'appel et de révision a alloué une indemnité de : - CHF 15'000.- à une jeune femme qui avait craint pour sa vie après un coup de couteau et conservé des séquelles douloureuses au niveau de la jambe et du visage (AARP/58/2011 du 29 juin 2011 consid. 5.1)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 ;</w:t>
      </w:r>
    </w:p>
    <w:p>
      <w:r>
        <w:t>- 21/25 - P/5640/2020 -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(AARP/216/2013 du 13 mai 2013 consid. 2) ; - CHF 40'000.- à un jeune homme de 23 ans agressé par des individus, lui causant de multiples fractures du massif facial (os frontal, sinus maxillaire bilatéral et spénoïdal, plancher de l'orbite avec atteinte du canal du nerf) et un enfoncement naso- 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(AARP/415/2018 du 21 décembre 2018 consid. 5.4) ; - CHF 20'000.- à un homme qui avait reçu sept coups de couteau, subi une hospitalisation longue de sept semaines et huit opérations, sa vie ayant été concrètement mise en danger et qui conservait des séquelles, pour partie irréversibles, justifiant un arrêt de travail à 50% (AARP/2/2022 du 11 janvier 2022 consid. 5.2, recours pendant au Tribunal fédéral) ; - CHF 15'000.- (montant inférieur à celui alloué en première instance) à une victime qui avait été frappée, sans raison et de façon violente et sauvage, de plusieurs coups de couteau chez elle, par un homme, auquel elle avait offert un toit. Outre les circonstances de l'agression, ce cas était proche du présent dans la mesure où la victime était vulnérable et précarisée, placée sous curatelle de gestion, et, à l’exception d’une hospitalisation d’une semaine, de cicatrices et de craintes persistantes, n'avait pas établi souffrir de séquelles durables, notamment handicapantes, en lien avec les faits de la cause (AARP/159/2022 du 31 mai 2022 consid. 6.5.2). 6.3.1. En l'espèce, l'intimé a acquiescé aux conclusions civiles de la victime dans leur principe, ce dont les premiers juges lui ont donné acte. Nonobstant la formulation ambiguë de sa déclaration d'appel (cf. supra point A.a et consid. 2), il ne paraît pas contester ce point du dispositif ; il a au contraire, par le truchement de son conseil, réitéré son acquiescement lors des débats de seconde instance, ajoutant qu'il</w:t>
      </w:r>
    </w:p>
    <w:p>
      <w:r>
        <w:t>- 22/25 - P/5640/2020 n'entendait pas "revenir sur les montants évoqués". Il en découle qu'il ne conteste les prétentions de la partie plaignante ni dans leur principe ni dans leur quotité, ce qui suffirait pour y faire droit, en application de la maxime de disposition. Mais il y a plus : s'il est vrai que la victime, en raison des troubles qu'elle présente elle-même, n'a pas été en mesure de s'exprimer sur les souffrances éprouvées lors des faits ou en lien avec leurs séquelles, il est en tout cas acquis qu'elle a subi des lésions, lesquelles ont nécessité une prise en charge d'urgence, une intubation durant plusieurs jours, des interventions chirurgicales, une hospitalisation aux soins intensifs puis en chirurgie viscérale de 15 jours. Dans cette mesure, elle a nécessairement vécu une souffrance physique importante, qui ne nécessite pas de description particulière, tout un chacun étant en mesure de l'imaginer. Au plan psychique, elle ne semble avoir qu'un souvenir très partiel de l'agression et on ignore si elle a conscience de ce qu'elle a failli perdre la vie ; il peut néanmoins être retenu qu'elle a nécessairement ressenti des émotions négatives fortes de nature à la perturber vivement durant l'événement lui-même. Du reste, le fait qu'elle se concentre, dans sa description des faits, sur les dommages causés à ses biens plutôt qu'à sa personne, paraît évocateur d'un mécanisme de protection significatif de l'ampleur du traumatisme. Il peut même être supposé que son désarroi a été plus important du fait de sa vulnérabilité et de ses troubles. Nier cette souffrance, ou en exiger une plus ample instruction, en reportant sur cette victime particulièrement désemparée, la charge d'agir par la voie civile, n'est pas conforme à l'esprit de la loi. Cela reviendrait à dire, par exemple, qu'un tout petit enfant victime ne pourrait agir en réparation du tort moral dès lors qu'il ne peut décrire son ressenti et qu'on ignore quelles seront les conséquences sur son développement. La victime a ensuite manifestement été marquée par son hospitalisation, puisqu'elle a relaté qu'elle s'était réveillée aux soins intensifs présentant des sutures et des plaies, de même que par les conditions de son retour à son domicile, endroit censé être protecteur, où elle avait été agressée, et qu'elle a trouvé en désordre, jonché de matériel médical et maculé des traces de son propre sang. Elle a dû bénéficier d'un accompagnement infirmier, y compris au plan psychologique, qui répondait à un besoin, puisqu'elle en était preneuse. Ces éléments, conjugués à l'expérience générale de la vie et à la conscience de ce que la victime est, en raison de son état de santé mentale, dans l'impossibilité de s'exprimer avec cohérence, permettent de retenir qu'elle a bien subi une souffrance physique et psychologique justifiant l'octroi d'une indemnité pour tort moral. 6.3.2. Il est équitable de condamner l'intimé à l'indemniser, quand bien même il était incapable de discernement lors des faits. Du reste, comme déjà souligné, celui-ci, assisté d'un défenseur, ne s'y oppose pas.</w:t>
      </w:r>
    </w:p>
    <w:p>
      <w:r>
        <w:t>- 23/25 - P/5640/2020 6.3.3. Le montant requis de CHF 15'000.- se situe dans la fourchette basse des indemnités usuellement allouées dans des cas similaires, selon la casuistique rappelée plus haut. Il se révèle en cela adéquat, ex aequo et bono, eu égard aux particularités présentées par les deux protagonistes. 6.3.4. Aussi, les conclusions civiles de la partie plaignante doivent être admises, tant au regard de la maxime de disposition, que du droit de fond. Son appel est partant admis.</w:t>
      </w:r>
    </w:p>
    <w:p>
      <w:r>
        <w:rPr>
          <w:b/>
        </w:rPr>
        <w:t>E. 7</w:t>
      </w:r>
    </w:p>
    <w:p>
      <w:r>
        <w:t>Les premiers juges ont laissé les frais de la procédure à la charge de l'État, vu l'irresponsabilité du prévenu et sa précarité. Celle-ci n'est pas établie, étant rappelé que l'appelant soutient être propriétaire d'une maison ; elle est néanmoins vraisemblable eu égard à sa situation. Il sera dès lors exceptionnellement fait de même en appel.</w:t>
      </w:r>
    </w:p>
    <w:p>
      <w:r>
        <w:rPr>
          <w:b/>
        </w:rPr>
        <w:t>E. 8.1</w:t>
      </w:r>
    </w:p>
    <w:p>
      <w:r>
        <w:t>L'état de frais du défenseur d'office du prévenu satisfait les exigences légales et jurisprudentielles régissant l'assistance judiciaire gratuite en matière pénale.</w:t>
      </w:r>
    </w:p>
    <w:p>
      <w:r>
        <w:t>Sa rémunération sera partant arrêtée à CHF 2'911.- pour 12 heures (arrondi ; débats d'appel compris) d'activité au tarif de CHF 200.- /heure, plus la majoration forfaitaire de 10 % (CHF 240.-) couvrant les activités diverses, la vacation à l'audience (CHF 100.-) et l'équivalent de la TVA au taux de 7.7% en CHF 211.-.</w:t>
      </w:r>
    </w:p>
    <w:p>
      <w:r>
        <w:rPr>
          <w:b/>
        </w:rPr>
        <w:t>E. 8.2</w:t>
      </w:r>
    </w:p>
    <w:p>
      <w:r>
        <w:t>L'activité déployée par la stagiaire du conseil juridique gratuit de la victime antérieurement à l'audience d'appel est également adéquate. En revanche, on ne voit pas à quelles opérations, non déjà couvertes par ledit forfait, correspondent les minutes facturées par son patron au titre de "prise de connaissance du dossier et examen juridique &amp; gestion du délai", étant d'ailleurs observé que toutes les communications ont été signées par ladite stagiaire et que c'était déjà elle qui assistait la cliente devant les premiers juges. L'examen du dossier à la veille d'une audience à laquelle le maître de stage n'allait pas assister ne peut que relever de l'encadrement et la formation de sa disciple, laquelle est à la charge du patron, non de l'assistance juridique.</w:t>
      </w:r>
    </w:p>
    <w:p>
      <w:r>
        <w:t>Aussi, la rémunération dudit conseil juridique gratuit sera taxée à CHF 851.90 pour 6 heures (arrondi ; débats d'appel compris) au tarif de CHF 110.- + le forfait de 10% (CHF 66.-) + le déplacement à l'audience (CHF 65.-) et la TVA (CHF 60.90). * * * * *</w:t>
      </w:r>
    </w:p>
    <w:p>
      <w:r>
        <w:t>- 24/25 - P/5640/2020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