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AARP/205/2020 vom 29. Mai 2020</w:t>
      </w:r>
    </w:p>
    <w:p>
      <w:r>
        <w:t>GE Cour de justice, 2020-05-29, FR</w:t>
      </w:r>
    </w:p>
    <w:p>
      <w:r>
        <w:rPr>
          <w:b/>
        </w:rPr>
        <w:t xml:space="preserve">Quelle: </w:t>
      </w:r>
      <w:r>
        <w:t>https://mcp.opencaselaw.ch/entscheid/ge_gerichte_AARP_205_2020</w:t>
      </w:r>
    </w:p>
    <w:p>
      <w:r>
        <w:t>FR: GE_GERICHTE AARP/205/2020 du 29 mai 2020</w:t>
      </w:r>
    </w:p>
    <w:p>
      <w:r>
        <w:t>IT: GE_GERICHTE AARP/205/2020 del 29 maggio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L'art. 111 CP réprime le comportement de celui qui aura intentionnellement tué une personne. Sur le plan subjectif, l'auteur doit avoir l'intention de causer par son comportement la mort d'autrui. Le dessein de commettre une infraction est donné si l'auteur agit en</w:t>
      </w:r>
    </w:p>
    <w:p>
      <w:r>
        <w:t>- 15/27 - P/6879/2018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2e éd., Berne 1995, p. 200 n. 152). 2.1.2.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141 IV 61 consid. 4.1 p. 64 s. ; ATF 118 IV 122 consid. 2b p. 125 s. et les références ; ATF 115 IV 8 consid. Ib p. 14 ; 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w:t>
      </w:r>
    </w:p>
    <w:p>
      <w:r>
        <w:t>- 16/27 - P/6879/2018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Tribunal fédéral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Tribunal fédéral 6B_654/2018 du</w:t>
      </w:r>
    </w:p>
    <w:p>
      <w:r>
        <w:rPr>
          <w:b/>
        </w:rPr>
        <w:t>E. 2.2</w:t>
      </w:r>
    </w:p>
    <w:p>
      <w:r>
        <w:t>En l'espèce, l'appelant ne remet pas en cause sa condamnation pour meurtre au sens de l'art. 111 CP, laquelle est par conséquent acquise, mais conteste remplir les conditions d'application de la circonstance aggravante de l'assassinat au sens de l'art. 112 CP. La CPAR relève que la violence et l'intensité avec lesquelles le prévenu a agi relèvent d'une manière d'agir particulièrement odieuse, caractéristique d'une absence particulière de scrupules. Le prévenu a attaqué sa victime par surprise alors qu'elle se trouvait sur un canapé et ne lui a laissé aucune chance de s'en sortir, en témoignent notamment les plaies dans son dos. Il s'est acharné sur sa mère en lui assénant de très nombreux coups de couteau, y compris au cœur, au foie, au visage et à la tête. Rien n'a pu l'arrêter, ni les gestes de défense de sa mère, ni ses cris – qu'il a entendu -, ni le fait qu'un couteau se soit cassé, ni enfin l'intervention de sa sœur E______ ou la présence de leur petite sœur F______. Les très graves blessures subies de manière totalement inattendue par la victime lui ont forcément occasionné des souffrances physiques aigües. Elle a également dû ressentir une grande souffrance morale réalisant qu'elle était agressée très violemment par son propre fils, les propos relatés par E______ ("il va me tuer") venant confirmer cette conviction de la CPAR. Le mobile pour lequel le prévenu a tué sa mère, soit selon ses dires en raison de propos insultants tenus par sa mère, est odieux et démontre également l'absence particulière de scrupules dont il a fait preuve, celui-ci apparaissant, clairement, comme parfaitement futile. Il résulte de ces circonstances que le prévenu a fait preuve du mépris le plus complet pour la vie de sa mère. Il a agi sans scrupules, démontrant de la sorte un égoïsme primaire et odieux. Il a agi dans le but de poursuivre ses propres intérêts, par frustration, et n'a tenu aucun compte de la vie de sa mère. Subjectivement, au vu du résultat de l'expertise psychiatrique, il y a lieu de retenir, malgré ses dénégations, que le prévenu a, à tout le moins, envisagé qu'il pouvait tuer sa mère en la poignardant et s'en est accommodé. Au moment des faits, il a pris la décision d'agir et l'a fait avec détermination puisqu'il est allé à la cuisine pour y prendre des couteaux puis s'est jeté sur sa mère par surprise avant de la poignarder au</w:t>
      </w:r>
    </w:p>
    <w:p>
      <w:r>
        <w:t>- 18/27 - P/6879/2018 moyen de deux couteaux différents. En outre, au vu des très graves blessures infligées à sa mère et de ses cris, il a, à tout le moins, également envisagé et accepté de lui infliger des souffrances physiques et morales très élevées. L'élément subjectif est ainsi réalisé, au minimum sous la forme du dol éventuel. L'appréciation globale du geste de A______, lequel relève certes principalement de sa pathologie mentale, remplit les critères de la circonstance aggravante de l'assassinat. En définitive, il y a ainsi lieu de retenir que le prévenu a bel et bien tué sa mère avec une absence particulière de scrupules en lien avec son handicap mental. La condamnation du prévenu pour meurtre avec la circonstance aggravante de l'assassinat (art. 111 cum art. 112 CP) sera dès lors confirmée, son grave trouble mental n'y faisant pas obstacle. 3. 3.1.1. Le juge atténue la peine en application de l'art. 19 al. 2 CP si, au moment d'agir, l'auteur ne possédait que partiellement la faculté d'apprécier le caractère illicite de son acte ou de se déterminer d'après cette appréciation. Le juge est en principe libre d'apprécier souverainement le rapport d'expertise et de décider contrairement à l'avis de l'expert; le juge ne peut toutefois se distancer de l'avis de l'expert que pour des raisons concluantes et motivées (PIQUEREZ, Traité de procédure pénale suisse, n. 812 p. 515 et références citées).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Le juge dispose d'un large pouvoir d'appréciation dans la fixation de la peine (arrêt 6B_835/2018 du 8 novembre 2018 consid. 2.1).</w:t>
      </w:r>
    </w:p>
    <w:p>
      <w:r>
        <w:t>- 19/27 - P/6879/2018 3.2.1 A l'instar du TCO, la CPAR n'a aucun motif de s'écarter des conclusions de l'expertise psychiatrique lesquelles ne sont d'ailleurs pas contestées. Il faut retenir, avec les experts, qu'au vu du trouble envahissant du développement affectant le prévenu depuis l'enfance, la responsabilité de l'intéressé au moment des faits était fortement restreinte. 3.2.2. Le prévenu, pour un motif parfaitement futile, a éliminé sa mère en la poignardant à de multiples reprises manifestant de la sorte une grande intensité dans sa volonté de mettre fin à ses jours. Il a agi en réaction à des propos tenus par sa mère qu'il a mal pris voir pour d'autres motifs qu'il n'a pas voulu ou pu indiquer, de sorte que rien ne permet d'entrevoir une raison qui ne fût tout-à-fait égoïste. Sa responsabilité fortement restreinte, au vu de son trouble, impacte de manière importante sa faute, étant souligné que le prévenu savait, néanmoins, que ses agissements étaient illicites. La collaboration du prévenu a été moyenne. S'il a admis les faits, il ne les a guère détaillés, son grave trouble mental ayant néanmoins joué un rôle important dans cette carence. Sa prise de conscience est limitée au vu de son trouble mental. Il apparaît cependant sincère lorsqu'il dit que sa mère lui manque et qu'il regrette ce qu'il a fait. Sa situation personnelle est prise en compte, tout comme l'absence d'antécédent, lequel a un effet neutre dans la fixation de la peine (ATF 136 IV 1 consid. 2.6). Au vu des éléments qui précèdent, la peine privative de liberté prononcée par le TCO sera confirmée, celle-ci n'étant contestée ni dans son principe ni dans sa quotité – donc acquise à l'appelant - et étant, au demeurant, adéquate. Il en ira de même de l'amende prononcée par le TCO pour sanctionner la contravention à la LCR, celle-ci n'étant également contestée ni dans son principe ni dans sa quotité et étant aussi adéquate, étant précisé que ces peines tiennent compte de manière adéquate de la responsabilité restreinte du prévenu. 4. 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w:t>
      </w:r>
    </w:p>
    <w:p>
      <w:r>
        <w:t>- 20/27 - P/6879/2018 traitement, sur la vraisemblance que l'auteur commette d'autres infractions et sur la nature de celles-ci ainsi que sur les possibilités de faire exécuter la mesure (art. 56 al. 3 let. a à c CP). 4.1.2. 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D'autre part,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 et les références citées). 4.1.3.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4.1.4.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 4.1.5. Un traitement institutionnel peut être prononcé au sens de l'art. 59 CP lorsque l'auteur souffre d'un grave trouble mental, qu'il a commis un acte en rapport avec cet état et qu'il est à prévoir que le traitement le détournera de nouvelles infractions en relation avec son état. Selon la jurisprudence, le choix de l'exécution de la mesure institutionnelle constitue une modalité d'exécution de la mesure qui relève de la compétence des autorités d'exécution (ATF 142 IV 1 consid. 2.5). Cela étant, si un</w:t>
      </w:r>
    </w:p>
    <w:p>
      <w:r>
        <w:t>- 21/27 - P/6879/2018 placement en milieu fermé apparaît déjà nécessaire au moment du prononcé du jugement, le juge peut et doit l'indiquer dans les considérants en traitant des conditions de l'art. 59 al. 3 CP (ATF 142 IV 1 consid. 2.4.4 p. 9 et 2.5 p. 10 ss; arrêt du Tribunal fédéral 6B_289/2016 du 28 décembre 2016 consid. 4.4). Il est souhaitable que le tribunal s'exprime dans les considérants de son jugement sur la nécessité d'exécuter la mesure en milieu fermé et recommande une telle modalité d'exécution, de manière non contraignante, à l'autorité d'exécution (arrêt du Tribunal fédéral 6B_371/2016 du 10 février 2017 et références citées). Le traitement institutionnel s'effectue dans un établissement psychiatrique approprié, dans un établissement d'exécution des mesures ou encore dans un établissement fermé tant qu'il y a lieu de craindre que l'auteur ne s'enfuie ou ne commette de nouvelles infractions (art. 59 al. 2 et 3 CP). 4.1.6. Selon l'art. 56 al. 5 CP, en règle générale, le juge n'ordonne une mesure que si un établissement approprié est à disposition. Cette information sera fournie par l'expert, tenu de s'exprimer sur ce point dans son rapport, ainsi que par les autorités d'exécution. Il appartient toutefois aux autorités d'exécution cantonales, et non au juge, de désigner l'institution appropriée (arrêt du Tribunal fédéral 6B_372/2012 du 27 septembre 2012 consid. 4.1). 4.1.7. En l'espèce, il résulte de l'expertise, respectivement de l'audition des experts que le prévenu souffre d'un trouble envahissant du développement, que les actes reprochés sont en lien avec ce trouble et que l'on peut attendre de la mise en place d'un traitement institutionnel une certaine amélioration de son état, à tout le moins du pronostic quant à une éventuelle récidive par l'absence d'une dégradation plus notable de son état de santé si aucun soin n'était ordonné. Tout comme le TCO avant elle, la CPAR est d'avis que la mesure préconisée par les experts, dont les conclusions ne prêtent pas le flanc à la critique, est nécessaire et justifiée sous l'angle de la proportionnalité, les soins devant être mis en place le plus rapidement possible en milieu sécurisé et fermé. La dangerosité du prévenu devra être régulièrement réévaluée, en tous les cas avant tout allègement de la mesure, compte tenu des déclarations des experts à ce sujet. Aussi, la mesure institutionnelle au sens de l'art. 59 CP prononcée par le TCO sera confirmée ainsi que la suspension de l'exécution de la peine privative de liberté au profit de la mesure, étant rappelé que l'appelant ne conteste pas, en tant que telle, la mesure prononcée par le TCO mais conclut à ce qu'il soit soumis à un traitement institutionnel dans un établissement psychiatrique approprié. 4.2.1 La loi ne désigne pas l'autorité compétente pour ordonner le placement en milieu fermé selon l'art. 59 al. 3 CP. D'après la jurisprudence, le placement dans un établissement fermé conformément à l'art. 59 al. 3 CP est une modalité de l'exécution</w:t>
      </w:r>
    </w:p>
    <w:p>
      <w:r>
        <w:t>- 22/27 - P/6879/2018 de la mesure, qui relève de la compétence de l'autorité d'exécution. (ATF 142 IV 1 consid. 2.5). À Genève, l'art. 5 al. 2 let. i de la loi d’application du code pénal suisse et d’autres lois fédérales en matière pénale du 27 août 2009 ([LaCP – E 4 10]), prévoit que le département est l’autorité d’exécution compétente pour faire exécuter les peines et les mesures et stipule,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Service d'application des peines et des mesures (SAPEM) à teneur de l'art. 11 al. 1 let. e et f du règlement sur l'exécution des peines privatives de liberté et des mesures concernant les adultes et les jeunes adultes (REPPL), devenu au 1er janvier 2018 le règlement sur l’exécution des peines et mesures (REPM – E 4 55.05). Le SAPEM dispose, dès lors, d'une compétence générale pour prendre des décisions dans le cadre de l'exécution d'une mesure, même si l'art. 59 al. 3 CP n'est pas expressément mentionné, la LaCP ne confiant à aucune autre autorité la compétence de statuer au sens de l'art. 59 al. 3 CP. L'octroi de cette compétence au SAPEM découle par ailleurs de la jurisprudence du Tribunal fédéral (arrêt du Tribunal fédéral 6B 1040/2015 du 29 juin 2016 consid. 3.1.2). 4.2.2. La CPAR n'est ainsi pas compétente pour se prononcer sur le lieu où se déroulera l'exécution du traitement institutionnel, préconisé dans un premier temps en milieu fermé. Partant, le jugement du TCO sera également confirmé s'agissant de la mesure ordonnée soit un traitement institutionnel au sens de l'art. 59 CP.</w:t>
      </w:r>
    </w:p>
    <w:p>
      <w:r>
        <w:rPr>
          <w:b/>
        </w:rPr>
        <w:t>E. 5</w:t>
      </w:r>
    </w:p>
    <w:p>
      <w:r>
        <w:t>L'appelant, qui succombe, supporter les frais de la procédure envers l'État (art. 428 CPP).</w:t>
      </w:r>
    </w:p>
    <w:p>
      <w:r>
        <w:rPr>
          <w:b/>
        </w:rPr>
        <w:t>E. 6.1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w:t>
      </w:r>
    </w:p>
    <w:p>
      <w:r>
        <w:t>- 23/27 - P/6879/2018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l’état de frais produit par le conseil de l’appelant paraît adéquat et conforme aux dispositions et principes qui précèdent à l'exception des frais forfaitaires qui ont été calculés avec un majoration de 20% alors que plus de 30 heures ont d'ores et déjà été décomptées en première instance (52h25) et que l'activité de 1 heure relative à la lecture de l'arrêt de la CPAR n'est pas couverte car ne relevant pas de l'activité devant les juridictions cantonales. Il sera admis avec ces précisions que la majoration forfaitaire sera réduite de moitié afin d'appliquer une majoration de 10%, que l'heure pour la lecture de l'arrêt sera retranchée, qu'il sera tenu compte de la durée effective de l'audience d'appel et que CHF 100.- seront alloués à titre de vacation à l'audience devant la CPAR.</w:t>
      </w:r>
    </w:p>
    <w:p>
      <w:r>
        <w:t>En conclusion, l'indemnité du conseil de l'appelant sera arrêtée à CHF 3'425.- correspondant à 14 heures d'activité au tarif de CHF 200.-/heure plus la majoration forfaitaire de 10%, CHF 100.- à titre de vacation et l'équivalent de la TVA au taux de 7.7% en CHF 245.-.</w:t>
      </w:r>
    </w:p>
    <w:p>
      <w:r>
        <w:rPr>
          <w:b/>
        </w:rPr>
        <w:t>E. 6.3</w:t>
      </w:r>
    </w:p>
    <w:p>
      <w:r>
        <w:t>Quant à l'indemnité du conseil des parties plaignantes, elle sera arrêtée à CHF 1'594.- correspondant à 5 heures 45 minutes au tarif de CHF 200.-/heure plus la majoration forfaitaire de 20%, CHF 100.- à titre de vacation et l'équivalent de la TVA au taux de 7.7% en CHF 114.-. * * * * *</w:t>
      </w:r>
    </w:p>
    <w:p>
      <w:r>
        <w:t>- 24/27 - P/6879/2018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