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AARP/205/2015 vom 17. April 2015</w:t>
      </w:r>
    </w:p>
    <w:p>
      <w:r>
        <w:t>GE Cour de justice, 2015-04-17, FR</w:t>
      </w:r>
    </w:p>
    <w:p>
      <w:r>
        <w:rPr>
          <w:b/>
        </w:rPr>
        <w:t xml:space="preserve">Quelle: </w:t>
      </w:r>
      <w:r>
        <w:t>https://mcp.opencaselaw.ch/entscheid/ge_gerichte_AARP_205_2015</w:t>
      </w:r>
    </w:p>
    <w:p>
      <w:r>
        <w:t>FR: GE_GERICHTE AARP/205/2015 du 17 avril 2015</w:t>
      </w:r>
    </w:p>
    <w:p>
      <w:r>
        <w:t>IT: GE_GERICHTE AARP/205/2015 del 17 aprile 2015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- 18/26 - P/15029/2010</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2.1.2. L'âge et l'état de santé du délinquant font partie des éléments susceptibles de le rendre plus vulnérable face à la peine. Cette vulnérabilité ne doit toutefois être retenue comme circonstance atténuante que si elle rend la sanction considérablement plus dure que pour la moyenne des autres condamnés (arrêts du Tribunal fédéral 6B_623/2014 du 5 janvier 2015 consid. 3.6.1 et 6B_533/2011 du 10 novembre 2011 consid. 7.1 et les références citées). 2.1.3. Dans le cadre de la fixation de la peine, le prévenu peut faire valoir une inégalité de traitement (sur cette notion, cf. ATF 134 I 23 consid. 9.1 p. 42, ATF 131 I 1 consid. 4.2. p. 6ss ; ATF 129 I 113 consid. 5.1 p. 125). Compte tenu toutefois des nombreux paramètres qui interviennent à ce stade, une comparaison avec des affaires concernant d'autres accusés et des faits différents est d'emblée délicate (ATF 120 IV 136 consid. 3a p. 144 et les arrêts cités). Il ne suffit pas que le prévenu puisse citer un ou deux cas où une peine particulièrement clémente a été fixée pour prétendre à un droit à l'égalité de traitement (ATF 120 IV 136 consid. 3a p. 144 et les références citées). Les disparités en cette matière s'expliquent normalement par le principe de l'individualisation des peines, voulu par le législateur. Elles ne suffisent pas en elles- mêmes pour conclure à un abus du pouvoir d'appréciation (ATF 135 IV 191 consid. 3.1 p. 193 ; arrêts 6B_107/2013 du 15 mai 2013 consid. 2.4.1 et 6B_793/2011 du 26 janvier 2012 consid. 4.3).</w:t>
      </w:r>
    </w:p>
    <w:p>
      <w:r>
        <w:t>- 19/26 - P/15029/2010 2.1.4. Appelé à juger les co-auteurs d'une même infraction ou deux co-accusés ayant participé ensemble au même complexe de faits délictueux, le juge est tenu de veiller à ce que la différence des peines infligées aux deux intéressés soit justifiée par une différence dans les circonstances personnelles, selon le principe d'égalité de traitement. La peine doit en effet être individualisée en fonction de celles-ci, conformément à l'art. 47 CP (ATF 121 IV 202 consid. 2b p. 244 ss ; arrêt du Tribunal fédéral 6S.199/2006 du 11 juillet 2006 consid. 4 in fine). 2.1.5. Sur le plan objectif, seules les peines de six mois à deux ans peuvent être assorties du sursis total (cf. art. 42 al. 1 CP).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2.1.6.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w:t>
      </w:r>
    </w:p>
    <w:p>
      <w:r>
        <w:rPr>
          <w:b/>
        </w:rPr>
        <w:t>E. 2.2</w:t>
      </w:r>
    </w:p>
    <w:p>
      <w:r>
        <w:t>La faute de l’appelant est lourde. Il s'en est pris au patrimoine d'autrui, causant un dommage matériel conséquent – plus de CHF 2 millions et EUR 600'000.- – aux victimes. Il n'a agi que dans le but de financer sans effort ses besoins personnels et son train de vie aisé, persistant sans scrupules et sur une période relativement longue – plus de deux ans – dans ses agissements, constatant que ses stratagèmes fonctionnaient. Ses actes apparaissent d'autant plus répréhensibles qu'il s'en est pris à plus faible que lui, à savoir des dames âgées et vulnérables. Par le biais de multiples mensonges et mises en scène, il est parvenu à entretenir de véritables relations affectives avec ses victimes, lui permettant d'acquérir leur confiance et d'asseoir son emprise sur chacune d'elle. Le mobile, égoïste, était celui de l'appât du gain facile. Le modus operandi était donc sophistiqué et les rôles étaient partagés avec C______. Les faits n’ont cessé que lorsque les victimes ont pris conscience de la supercherie, alors qu’elles étaient, de toute manière, totalement désargentées. L'appelant n'a jamais manifesté d'intention de cesser ses agissements. Au contraire, lorsque ses relations avec les victimes se sont dégradées, il a continué à leur demander de l'argent en usant de pressions, soit en conditionnant de la sorte la restitution des</w:t>
      </w:r>
    </w:p>
    <w:p>
      <w:r>
        <w:t>- 20/26 - P/15029/2010 deniers précédemment remis. Il n'a, en sus, pas hésité à se servir dans leur patrimoine mobilier, leurs liquidités étant épuisées. L’intensité de la volonté délictueuse était donc grande. Les conséquences des actes de l'appelant ne se résument pas au dommage matériel. Les parties plaignantes se retrouvent dans une situation de précarité, étant désormais dépourvues de ressources. La collaboration de l’appelant a été mauvaise. Il a persisté à minimiser les faits, tant dans leur nature que dans leur ampleur, et à soutenir l’invraisemblable pour se disculper d’avoir abusé de la fragilité et de la charité de personnes âgées vulnérables. Il ne montre ainsi aucune prise de conscience ; les excuses présentées lors des audiences de jugement et d'appel paraissent de pure circonstance, dans la mesure où il reste dans le déni. Les antécédents judiciaires de l’appelant, sur lesquels il a menti, sont également mauvais, y compris sous l’angle de la spécificité. Il a déjà été condamné à huit reprises pour des infractions similaires et n’a pas hésité à récidiver. Sa situation personnelle n'explique en rien ses agissements. L'appelant est âgé de 64 ans et allègue souffrir d'un diabète sévère. Ces deux éléments, même cumulés, ne sauraient être considérés comme un facteur de réduction de la peine, la maladie de l'appelant, au demeurant, non-attestée par pièces, pouvant aisément être traitée en milieu carcéral, ce qui a vraisemblablement été le cas pendant sa détention provisoire. Il ne ressort pas de la procédure que la situation de l'appelant aurait pour conséquence une sensibilité accrue à la peine ou présenterait un caractère si exceptionnel qu'une réduction de la peine s'imposerait pour ce motif. Il n'y a pas lieu, au stade de la fixation de la peine, de prendre en compte une éventuelle faute concurrente des victimes, étant précisé que leur comportement respectif a été examiné par les premiers juges au stade de la culpabilité. La gravité de la faute de l'appelant exclut l’octroi d’une peine assortie du sursis complet ou partiel. En application du principe de l'individualisation des peines, la comparaison entre différentes affaires n'est que rarement relevante. Les causes auxquelles se réfère l’appelant portent sur des états de fait différents de ceux de la présente procédure, dans la mesure où il n'est jamais question d'une telle tromperie avec emprise psychologique permettant l'accomplissement d'actes répétés pendant une longue période, au préjudice des mêmes vulnérables victimes. En outre, des circonstances</w:t>
      </w:r>
    </w:p>
    <w:p>
      <w:r>
        <w:t>- 21/26 - P/15029/2010 spécifiques, énumérées ci-dessus, sont opposables à l'appelant, comme ses mauvais antécédents par exemple. Les comparaisons invoquées ne sont donc pas pertinentes. Compte tenu de ce qui précède, la quotité de la peine, arrêtée à quatre ans et demi par les premiers juges, est proportionnée à la faute de l’appelant et aux circonstances dans lesquelles il a agi. La différence avec la peine privative de liberté de trois ans infligée par les premiers juges à C______ est justifiée, eu égard au rôle respectif des prévenus et aux antécédents de l’appelant. En effet, ce dernier a, de manière générale, été plus actif dans la mise en place et dans l’entretien de la tromperie, le rôle de C______ était moins décisif. En outre, il est récidiviste, ayant été condamné à huit reprises en France pour des infractions du même genre. Par conséquent, la peine privative de liberté de quatre ans et demi doit être maintenue. Le jugement entrepris sera confirmé sur ce point.</w:t>
      </w:r>
    </w:p>
    <w:p>
      <w:r>
        <w:rPr>
          <w:b/>
        </w:rPr>
        <w:t>E. 3</w:t>
      </w:r>
    </w:p>
    <w:p>
      <w:r>
        <w:t>3.1.1. En vertu de l'art. 126 al. 1 lit.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3.1.2. Selon l’art. 41 al. 1 du Code des obligations du 30 mars 1911 (CO ; RS 220),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p. 130).</w:t>
      </w:r>
    </w:p>
    <w:p>
      <w:r>
        <w:rPr>
          <w:b/>
        </w:rPr>
        <w:t>E. 3.2</w:t>
      </w:r>
    </w:p>
    <w:p>
      <w:r>
        <w:t>Il ne sera pas donné droit aux conclusions de l'appelant qui conteste le montant des prétentions civiles, le jugeant trop élevé dans la mesure où D______ et lui-même avaient tous deux profité d'une partie de l'argent dépensé ensemble. L'appelant n'a ni démontré ses propos, notamment par pièces, ni chiffré la diminution alléguée. En tout état, le fait que l'intimée précitée ait pu bénéficier, avec l'appelant, d'une partie du montant qu’il lui a extorqué, ne saurait avoir d'influence sur l'étendue du dommage subi. En effet, elle n'a consenti ces dépenses, qui outrepassaient grandement son train de vie, qu'en raison et en vue de la tromperie dont elle a fait l'objet, de sorte que son patrimoine a été appauvri du montant total y relatif, de minimum CHF 560'000.-. Cette somme constitue donc le dommage subi, peu importe son affectation subséquente.</w:t>
      </w:r>
    </w:p>
    <w:p>
      <w:r>
        <w:t>- 22/26 - P/15029/2010 Le jugement entrepris sera également confirmé sur ce point.</w:t>
      </w:r>
    </w:p>
    <w:p>
      <w:r>
        <w:rPr>
          <w:b/>
        </w:rPr>
        <w:t>E. 4</w:t>
      </w:r>
    </w:p>
    <w:p>
      <w:r>
        <w:t>Les motifs ayant conduit les premiers juges à prononcer, par ordonnance séparée du 17 octobre 2014, le maintien de l'appelant en détention pour des motifs de sûreté sont toujours d'actualité, ce que celui-ci ne conteste au demeurant pas, de sorte que la mesure sera reconduite mutatis mutandis (ATF 139 IV 277 consid. 2.2 à 2.3).</w:t>
      </w:r>
    </w:p>
    <w:p>
      <w:r>
        <w:rPr>
          <w:b/>
        </w:rPr>
        <w:t>E. 5</w:t>
      </w:r>
    </w:p>
    <w:p>
      <w:r>
        <w:t>L'appelant, qui succombe, supportera l’intégralité des frais de la procédure d'appel (art. 428 CPP), lesquels comprendront un émolument de CHF 1'500.- (art. 14 al. 1 let. e du Règlement fixant le tarif des frais en matière pénale, du 22 décembre 2010 [RTFMP; E 4 10.03]).</w:t>
      </w:r>
    </w:p>
    <w:p>
      <w:r>
        <w:rPr>
          <w:b/>
        </w:rPr>
        <w:t>E. 6</w:t>
      </w:r>
    </w:p>
    <w:p>
      <w:r>
        <w:t>6.1.1.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À teneur de la jurisprudence, ce qui est décisif pour fixer la rémunération de l'avocat, c'est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de la Cour des plaintes du Tribunal pénal fédéral, BB.2013.127 du 4 décembre 2013 consid. 4.2). L'art. 17 RAJ mentionne que "l'état de frais détaille par rubriques les activités donnant lieu à indemnisation, avec indication du temps consacré. Les justificatifs des frais sont joints. Les directives du greffe sont applicables pour le surplus".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w:t>
      </w:r>
    </w:p>
    <w:p>
      <w:r>
        <w:t>- 23/26 - P/15029/2010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6.1.2.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En particulier,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 6.2.1. De la note de frais de Me B______, collaboratrice, l'activité suivante ne sera pas retenue : - une heure affectée à la rédaction de la déclaration d'appel, activité incluse dans le forfait de 20 % dès lors que l’acte n’a pas à être motivé (décision de la Cour des plaintes du Tribunal pénal fédéral du 21 novembre 2014, n° de dossier : BB.2014.51 consid. 2.1) ; - six heures et trente minutes affectées à la préparation de l'audience d'appel, quatre heures étant suffisantes au vu de l'objet de l'appel et de la bonne connaissance du dossier, Me B______ ayant été nommée pendant la procédure de première instance. L'activité exercée par le défenseur d’office de l'appelant dans le cadre de la présente procédure est au surplus en adéquation avec la nature, l'importance et la difficulté de la cause. Par conséquent, l'état de frais, après les réductions qui précèdent, sera admis à concurrence de sept heures et quinze minutes d'activité au tarif réservé au collaborateur, ce qui correspond à une indemnité de base de CHF 906.25.</w:t>
      </w:r>
    </w:p>
    <w:p>
      <w:r>
        <w:t>- 24/26 - P/15029/2010 Il convient d'ajouter à ce montant l'indemnisation forfaitaire de 20 %, soit CHF 181.25. Aucune somme ne sera allouée à titre de TVA, vu le statut de collaboratrice du défenseur d’office de l’appelant (arrêt du Tribunal fédéral 6B_638/2012 du 6 décembre 2012 consid. 3.4-3.7). 6.2.2. L'état de frais de Me E______, chef d'étude, sera imputé de l'activité suivante : - dix-huit minutes affectées à l'étude des actes de procédure, activité incluse dans le forfait de 10 % ; - une heure et quinze minutes affectées à la préparation à l'audience d'appel, une heure étant suffisante, étant rappelé que la seule question concernant cette partie plaignante était celle de ses prétentions civiles. L'activité exercée par le conseil précité dans le cadre de la présente procédure est au surplus en adéquation avec la nature, l'importance et la difficulté de la cause. Par conséquent, l'état de frais, après les réductions qui précèdent, sera admis à concurrence de deux heures et quarante-cinq minutes d'activité au tarif réservé au chef d'étude, ce qui correspond à une indemnité de base de CHF 550.-. Il convient d'ajouter à ce montant l'indemnisation forfaitaire de 10% (vu le nombre d'heures – supérieur à 30 – indemnisé en première instance), soit CHF 55.- plus la TVA de CHF 48.40. * * * * *</w:t>
      </w:r>
    </w:p>
    <w:p>
      <w:r>
        <w:t>- 25/26 - P/15029/2010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